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60" w:after="80"/>
        <w:jc w:val="center"/>
        <w:rPr>
          <w:lang w:val="pl-PL"/>
        </w:rPr>
      </w:pPr>
      <w:r>
        <w:rPr>
          <w:b/>
          <w:color w:val="1F4E78"/>
          <w:sz w:val="24"/>
          <w:lang w:val="pl-PL"/>
        </w:rPr>
        <w:t>SZKOŁA PODSTAWOWA NR 59</w:t>
      </w:r>
    </w:p>
    <w:p>
      <w:pPr>
        <w:pStyle w:val="Normal"/>
        <w:spacing w:before="0" w:after="440"/>
        <w:jc w:val="center"/>
        <w:rPr>
          <w:lang w:val="pl-PL"/>
        </w:rPr>
      </w:pPr>
      <w:r>
        <w:rPr>
          <w:color w:val="5F6B75"/>
          <w:lang w:val="pl-PL"/>
        </w:rPr>
        <w:t>im. gen. J. H. Dąbrowskiego w Poznaniu</w:t>
      </w:r>
    </w:p>
    <w:p>
      <w:pPr>
        <w:pStyle w:val="Normal"/>
        <w:jc w:val="center"/>
        <w:rPr>
          <w:lang w:val="pl-PL"/>
        </w:rPr>
      </w:pPr>
      <w:r>
        <w:rPr>
          <w:b/>
          <w:color w:val="1F4E78"/>
          <w:sz w:val="50"/>
          <w:lang w:val="pl-PL"/>
        </w:rPr>
        <w:t>WYMAGANIA EDUKACYJNE</w:t>
      </w:r>
    </w:p>
    <w:p>
      <w:pPr>
        <w:pStyle w:val="Normal"/>
        <w:spacing w:before="0" w:after="360"/>
        <w:jc w:val="center"/>
        <w:rPr/>
      </w:pPr>
      <w:r>
        <w:rPr>
          <w:b/>
          <w:color w:val="5B9BD5"/>
          <w:sz w:val="24"/>
          <w:lang w:val="pl-PL"/>
        </w:rPr>
        <w:t>rok szkolny 2026/2027</w:t>
      </w:r>
    </w:p>
    <w:tbl>
      <w:tblPr>
        <w:tblW w:w="10092" w:type="dxa"/>
        <w:jc w:val="center"/>
        <w:tblInd w:w="0" w:type="dxa"/>
        <w:tblLayout w:type="fixed"/>
        <w:tblCellMar>
          <w:top w:w="95" w:type="dxa"/>
          <w:left w:w="130" w:type="dxa"/>
          <w:bottom w:w="95" w:type="dxa"/>
          <w:right w:w="130" w:type="dxa"/>
        </w:tblCellMar>
        <w:tblLook w:firstRow="0" w:noVBand="0" w:lastRow="0" w:firstColumn="0" w:lastColumn="0" w:noHBand="0" w:val="0000"/>
      </w:tblPr>
      <w:tblGrid>
        <w:gridCol w:w="2834"/>
        <w:gridCol w:w="7257"/>
      </w:tblGrid>
      <w:tr>
        <w:trPr/>
        <w:tc>
          <w:tcPr>
            <w:tcW w:w="283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EAF3F8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b/>
                <w:color w:val="1F4E78"/>
                <w:sz w:val="18"/>
                <w:lang w:val="pl-PL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</w:tcPr>
          <w:p>
            <w:pPr>
              <w:pStyle w:val="Normal"/>
              <w:spacing w:before="0" w:after="80"/>
              <w:rPr/>
            </w:pPr>
            <w:r>
              <w:rPr>
                <w:i/>
                <w:color w:val="5F6B75"/>
                <w:sz w:val="18"/>
                <w:lang w:val="pl-PL"/>
              </w:rPr>
              <w:t>Przyroda</w:t>
            </w:r>
          </w:p>
        </w:tc>
      </w:tr>
      <w:tr>
        <w:trPr/>
        <w:tc>
          <w:tcPr>
            <w:tcW w:w="283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EAF3F8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b/>
                <w:color w:val="1F4E78"/>
                <w:sz w:val="18"/>
                <w:lang w:val="pl-PL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i/>
                <w:color w:val="5F6B75"/>
                <w:sz w:val="18"/>
                <w:lang w:val="pl-PL"/>
              </w:rPr>
              <w:t xml:space="preserve">Klasa </w:t>
            </w:r>
            <w:r>
              <w:rPr>
                <w:i/>
                <w:color w:val="5F6B75"/>
                <w:sz w:val="18"/>
                <w:lang w:val="pl-PL"/>
              </w:rPr>
              <w:t>4</w:t>
            </w:r>
          </w:p>
        </w:tc>
      </w:tr>
      <w:tr>
        <w:trPr/>
        <w:tc>
          <w:tcPr>
            <w:tcW w:w="283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EAF3F8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b/>
                <w:color w:val="1F4E78"/>
                <w:sz w:val="18"/>
                <w:lang w:val="pl-PL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</w:tcPr>
          <w:p>
            <w:pPr>
              <w:pStyle w:val="Normal"/>
              <w:spacing w:before="0" w:after="80"/>
              <w:rPr/>
            </w:pPr>
            <w:r>
              <w:rPr>
                <w:i/>
                <w:color w:val="5F6B75"/>
                <w:sz w:val="18"/>
                <w:lang w:val="pl-PL"/>
              </w:rPr>
              <w:t>Elżbieta Łuka</w:t>
            </w:r>
          </w:p>
        </w:tc>
      </w:tr>
      <w:tr>
        <w:trPr/>
        <w:tc>
          <w:tcPr>
            <w:tcW w:w="283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EAF3F8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b/>
                <w:color w:val="1F4E78"/>
                <w:sz w:val="18"/>
                <w:lang w:val="pl-PL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</w:tcPr>
          <w:p>
            <w:pPr>
              <w:pStyle w:val="Normal"/>
              <w:spacing w:before="0" w:after="80"/>
              <w:rPr>
                <w:i/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</w:pPr>
            <w:r>
              <w:rPr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  <w:t>Program nauczania „</w:t>
            </w:r>
            <w:r>
              <w:rPr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  <w:t>Odkrywam przyrodę”</w:t>
            </w:r>
            <w:r>
              <w:rPr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  <w:t xml:space="preserve">  – 202</w:t>
            </w:r>
            <w:r>
              <w:rPr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  <w:t>6</w:t>
            </w:r>
            <w:r>
              <w:rPr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  <w:br/>
              <w:t xml:space="preserve">Autor: </w:t>
            </w:r>
            <w:r>
              <w:rPr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  <w:t>Barbara Dziedzic</w:t>
            </w:r>
          </w:p>
        </w:tc>
      </w:tr>
      <w:tr>
        <w:trPr/>
        <w:tc>
          <w:tcPr>
            <w:tcW w:w="283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EAF3F8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b/>
                <w:color w:val="1F4E78"/>
                <w:sz w:val="18"/>
                <w:lang w:val="pl-PL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</w:tcPr>
          <w:p>
            <w:pPr>
              <w:pStyle w:val="Normal"/>
              <w:rPr>
                <w:i/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</w:pPr>
            <w:r>
              <w:rPr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  <w:t>Wymagania na oceny uwzględniają zapisy podstawy programowej z 2026 r. (Dz.U. z 2026 poz. 378).</w:t>
            </w:r>
          </w:p>
          <w:p>
            <w:pPr>
              <w:pStyle w:val="Normal"/>
              <w:spacing w:before="0" w:after="80"/>
              <w:rPr>
                <w:i/>
                <w:i/>
                <w:iCs/>
                <w:color w:themeColor="background1" w:themeShade="80" w:val="808080"/>
                <w:sz w:val="18"/>
                <w:szCs w:val="18"/>
                <w:lang w:val="pl-PL"/>
              </w:rPr>
            </w:pPr>
            <w:r>
              <w:rPr/>
            </w:r>
          </w:p>
        </w:tc>
      </w:tr>
      <w:tr>
        <w:trPr/>
        <w:tc>
          <w:tcPr>
            <w:tcW w:w="283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EAF3F8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b/>
                <w:color w:val="1F4E78"/>
                <w:sz w:val="18"/>
                <w:lang w:val="pl-PL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i/>
                <w:color w:val="5F6B75"/>
                <w:sz w:val="18"/>
                <w:lang w:val="pl-PL"/>
              </w:rPr>
              <w:t>25.08.2026</w:t>
            </w:r>
          </w:p>
        </w:tc>
      </w:tr>
      <w:tr>
        <w:trPr/>
        <w:tc>
          <w:tcPr>
            <w:tcW w:w="283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EAF3F8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54" w:before="0" w:after="80"/>
              <w:jc w:val="left"/>
              <w:rPr/>
            </w:pPr>
            <w:r>
              <w:rPr>
                <w:b/>
                <w:color w:val="1F4E78"/>
                <w:sz w:val="18"/>
                <w:lang w:val="pl-PL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</w:tcPr>
          <w:p>
            <w:pPr>
              <w:pStyle w:val="Normal"/>
              <w:spacing w:before="0" w:after="80"/>
              <w:rPr>
                <w:lang w:val="pl-PL"/>
              </w:rPr>
            </w:pPr>
            <w:r>
              <w:rPr>
                <w:i/>
                <w:color w:val="5F6B75"/>
                <w:sz w:val="18"/>
                <w:lang w:val="pl-PL"/>
              </w:rPr>
              <w:t>Strona Internetowa https://www.sp59.poznan.pl/</w:t>
            </w:r>
          </w:p>
        </w:tc>
      </w:tr>
    </w:tbl>
    <w:p>
      <w:pPr>
        <w:pStyle w:val="Normal"/>
        <w:spacing w:before="0" w:after="60"/>
        <w:rPr>
          <w:lang w:val="pl-PL"/>
        </w:rPr>
      </w:pPr>
      <w:r>
        <w:rPr>
          <w:lang w:val="pl-PL"/>
        </w:rPr>
      </w:r>
    </w:p>
    <w:p>
      <w:pPr>
        <w:pStyle w:val="Normal"/>
        <w:spacing w:before="0" w:after="60"/>
        <w:rPr>
          <w:lang w:val="pl-PL"/>
        </w:rPr>
      </w:pPr>
      <w:r>
        <w:rPr>
          <w:lang w:val="pl-PL"/>
        </w:rPr>
      </w:r>
    </w:p>
    <w:p>
      <w:pPr>
        <w:pStyle w:val="Normal"/>
        <w:spacing w:before="0" w:after="60"/>
        <w:rPr>
          <w:lang w:val="pl-PL"/>
        </w:rPr>
      </w:pPr>
      <w:r>
        <w:rPr>
          <w:lang w:val="pl-PL"/>
        </w:rPr>
      </w:r>
    </w:p>
    <w:p>
      <w:pPr>
        <w:pStyle w:val="Normal"/>
        <w:spacing w:before="0" w:after="60"/>
        <w:rPr>
          <w:lang w:val="pl-PL"/>
        </w:rPr>
      </w:pPr>
      <w:r>
        <w:rPr>
          <w:lang w:val="pl-PL"/>
        </w:rPr>
      </w:r>
    </w:p>
    <w:p>
      <w:pPr>
        <w:pStyle w:val="Normal"/>
        <w:spacing w:before="0" w:after="60"/>
        <w:rPr>
          <w:lang w:val="pl-PL"/>
        </w:rPr>
      </w:pPr>
      <w:r>
        <w:rPr>
          <w:lang w:val="pl-PL"/>
        </w:rPr>
      </w:r>
    </w:p>
    <w:p>
      <w:pPr>
        <w:pStyle w:val="Normal"/>
        <w:spacing w:before="0" w:after="60"/>
        <w:rPr>
          <w:lang w:val="pl-PL"/>
        </w:rPr>
      </w:pPr>
      <w:r>
        <w:rPr>
          <w:lang w:val="pl-PL"/>
        </w:rPr>
      </w:r>
    </w:p>
    <w:tbl>
      <w:tblPr>
        <w:tblW w:w="14004" w:type="dxa"/>
        <w:jc w:val="center"/>
        <w:tblInd w:w="0" w:type="dxa"/>
        <w:tblLayout w:type="fixed"/>
        <w:tblCellMar>
          <w:top w:w="100" w:type="dxa"/>
          <w:left w:w="160" w:type="dxa"/>
          <w:bottom w:w="100" w:type="dxa"/>
          <w:right w:w="160" w:type="dxa"/>
        </w:tblCellMar>
        <w:tblLook w:firstRow="0" w:noVBand="0" w:lastRow="0" w:firstColumn="0" w:lastColumn="0" w:noHBand="0" w:val="0000"/>
      </w:tblPr>
      <w:tblGrid>
        <w:gridCol w:w="14004"/>
      </w:tblGrid>
      <w:tr>
        <w:trPr/>
        <w:tc>
          <w:tcPr>
            <w:tcW w:w="14004" w:type="dxa"/>
            <w:tcBorders/>
            <w:shd w:color="auto" w:fill="1F4E78" w:val="clear"/>
          </w:tcPr>
          <w:p>
            <w:pPr>
              <w:pStyle w:val="Normal"/>
              <w:spacing w:before="0" w:after="80"/>
              <w:rPr>
                <w:lang w:val="pl-PL"/>
              </w:rPr>
            </w:pPr>
            <w:r>
              <w:rPr>
                <w:b/>
                <w:color w:val="FFFFFF"/>
                <w:sz w:val="25"/>
                <w:lang w:val="pl-PL"/>
              </w:rPr>
              <w:t xml:space="preserve"> </w:t>
            </w:r>
            <w:r>
              <w:rPr>
                <w:b/>
                <w:color w:val="FFFFFF"/>
                <w:sz w:val="25"/>
                <w:lang w:val="pl-PL"/>
              </w:rPr>
              <w:t>KLASY IV</w:t>
            </w:r>
            <w:r>
              <w:rPr>
                <w:color w:val="DCE8F1"/>
                <w:sz w:val="18"/>
                <w:lang w:val="pl-PL"/>
              </w:rPr>
              <w:t xml:space="preserve">  pozostaw tę część, jeśli dokument dotyczy przedmiotu ocenianego stopniami</w:t>
            </w:r>
          </w:p>
        </w:tc>
      </w:tr>
    </w:tbl>
    <w:p>
      <w:pPr>
        <w:pStyle w:val="Normal"/>
        <w:spacing w:before="0" w:after="0"/>
        <w:rPr>
          <w:lang w:val="pl-PL"/>
        </w:rPr>
      </w:pPr>
      <w:r>
        <w:rPr>
          <w:lang w:val="pl-PL"/>
        </w:rPr>
      </w:r>
    </w:p>
    <w:p>
      <w:pPr>
        <w:pStyle w:val="Normal"/>
        <w:keepNext w:val="true"/>
        <w:spacing w:before="100" w:after="100"/>
        <w:rPr/>
      </w:pPr>
      <w:r>
        <w:rPr>
          <w:b/>
          <w:color w:val="1F4E78"/>
          <w:sz w:val="27"/>
          <w:lang w:val="pl-PL"/>
        </w:rPr>
        <w:t>Jak czytać poziomy 2–6?</w:t>
      </w:r>
    </w:p>
    <w:tbl>
      <w:tblPr>
        <w:tblW w:w="1516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0" w:lastRow="0" w:firstColumn="0" w:lastColumn="0" w:noHBand="0" w:val="0000"/>
      </w:tblPr>
      <w:tblGrid>
        <w:gridCol w:w="3033"/>
        <w:gridCol w:w="3033"/>
        <w:gridCol w:w="3033"/>
        <w:gridCol w:w="3033"/>
        <w:gridCol w:w="3033"/>
      </w:tblGrid>
      <w:tr>
        <w:trPr/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EEF1F3" w:val="clear"/>
          </w:tcPr>
          <w:p>
            <w:pPr>
              <w:pStyle w:val="Normal"/>
              <w:jc w:val="center"/>
              <w:rPr/>
            </w:pPr>
            <w:r>
              <w:rPr>
                <w:b/>
                <w:color w:val="1F4E78"/>
                <w:sz w:val="18"/>
                <w:lang w:val="pl-PL"/>
              </w:rPr>
              <w:t>2 • dopuszczająca</w:t>
            </w:r>
          </w:p>
          <w:p>
            <w:pPr>
              <w:pStyle w:val="Normal"/>
              <w:spacing w:before="0" w:after="80"/>
              <w:jc w:val="center"/>
              <w:rPr/>
            </w:pPr>
            <w:r>
              <w:rPr>
                <w:color w:val="5F6B75"/>
                <w:sz w:val="17"/>
                <w:lang w:val="pl-PL"/>
              </w:rPr>
              <w:t>odtwarza / rozpoznaje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E8F0E3" w:val="clear"/>
          </w:tcPr>
          <w:p>
            <w:pPr>
              <w:pStyle w:val="Normal"/>
              <w:jc w:val="center"/>
              <w:rPr/>
            </w:pPr>
            <w:r>
              <w:rPr>
                <w:b/>
                <w:color w:val="1F4E78"/>
                <w:sz w:val="18"/>
                <w:lang w:val="pl-PL"/>
              </w:rPr>
              <w:t>3 • dostateczna</w:t>
            </w:r>
          </w:p>
          <w:p>
            <w:pPr>
              <w:pStyle w:val="Normal"/>
              <w:spacing w:before="0" w:after="80"/>
              <w:jc w:val="center"/>
              <w:rPr/>
            </w:pPr>
            <w:r>
              <w:rPr>
                <w:color w:val="5F6B75"/>
                <w:sz w:val="17"/>
                <w:lang w:val="pl-PL"/>
              </w:rPr>
              <w:t>rozumie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FFF1CC" w:val="clear"/>
          </w:tcPr>
          <w:p>
            <w:pPr>
              <w:pStyle w:val="Normal"/>
              <w:jc w:val="center"/>
              <w:rPr/>
            </w:pPr>
            <w:r>
              <w:rPr>
                <w:b/>
                <w:color w:val="1F4E78"/>
                <w:sz w:val="18"/>
                <w:lang w:val="pl-PL"/>
              </w:rPr>
              <w:t>4 • dobra</w:t>
            </w:r>
          </w:p>
          <w:p>
            <w:pPr>
              <w:pStyle w:val="Normal"/>
              <w:spacing w:before="0" w:after="80"/>
              <w:jc w:val="center"/>
              <w:rPr/>
            </w:pPr>
            <w:r>
              <w:rPr>
                <w:color w:val="5F6B75"/>
                <w:sz w:val="17"/>
                <w:lang w:val="pl-PL"/>
              </w:rPr>
              <w:t>stosuje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E7E0F2" w:val="clear"/>
          </w:tcPr>
          <w:p>
            <w:pPr>
              <w:pStyle w:val="Normal"/>
              <w:jc w:val="center"/>
              <w:rPr/>
            </w:pPr>
            <w:r>
              <w:rPr>
                <w:b/>
                <w:color w:val="1F4E78"/>
                <w:sz w:val="18"/>
                <w:lang w:val="pl-PL"/>
              </w:rPr>
              <w:t>5 • bardzo dobra</w:t>
            </w:r>
          </w:p>
          <w:p>
            <w:pPr>
              <w:pStyle w:val="Normal"/>
              <w:spacing w:before="0" w:after="80"/>
              <w:jc w:val="center"/>
              <w:rPr/>
            </w:pPr>
            <w:r>
              <w:rPr>
                <w:color w:val="5F6B75"/>
                <w:sz w:val="17"/>
                <w:lang w:val="pl-PL"/>
              </w:rPr>
              <w:t>analizuje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color="auto" w:fill="E0EAF5" w:val="clear"/>
          </w:tcPr>
          <w:p>
            <w:pPr>
              <w:pStyle w:val="Normal"/>
              <w:jc w:val="center"/>
              <w:rPr/>
            </w:pPr>
            <w:r>
              <w:rPr>
                <w:b/>
                <w:color w:val="1F4E78"/>
                <w:sz w:val="18"/>
                <w:lang w:val="pl-PL"/>
              </w:rPr>
              <w:t>6 • celująca</w:t>
            </w:r>
          </w:p>
          <w:p>
            <w:pPr>
              <w:pStyle w:val="Normal"/>
              <w:spacing w:before="0" w:after="80"/>
              <w:jc w:val="center"/>
              <w:rPr/>
            </w:pPr>
            <w:r>
              <w:rPr>
                <w:color w:val="5F6B75"/>
                <w:sz w:val="17"/>
                <w:lang w:val="pl-PL"/>
              </w:rPr>
              <w:t>ocenia / tworzy</w:t>
            </w:r>
          </w:p>
        </w:tc>
      </w:tr>
      <w:tr>
        <w:trPr/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6"/>
                <w:lang w:val="pl-PL"/>
              </w:rPr>
              <w:t>wymienia • definiuje • rozpoznaje • wskazuje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6"/>
                <w:lang w:val="pl-PL"/>
              </w:rPr>
              <w:t>wyjaśnia • opisuje • porównuje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6"/>
                <w:lang w:val="pl-PL"/>
              </w:rPr>
              <w:t>stosuje • oblicza • rozwiązuje • wykorzystuje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6"/>
                <w:lang w:val="pl-PL"/>
              </w:rPr>
              <w:t>analizuje • uzasadnia • interpretuje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sz w:val="16"/>
                <w:lang w:val="pl-PL"/>
              </w:rPr>
              <w:t>ocenia • tworzy • projektuje</w:t>
            </w:r>
          </w:p>
        </w:tc>
      </w:tr>
    </w:tbl>
    <w:p>
      <w:pPr>
        <w:pStyle w:val="Normal"/>
        <w:spacing w:before="100" w:after="100"/>
        <w:rPr>
          <w:lang w:val="pl-PL"/>
        </w:rPr>
      </w:pPr>
      <w:r>
        <w:rPr>
          <w:b/>
          <w:color w:val="1F4E78"/>
          <w:sz w:val="18"/>
          <w:lang w:val="pl-PL"/>
        </w:rPr>
        <w:t xml:space="preserve">Zasada hierarchii: </w:t>
      </w:r>
      <w:r>
        <w:rPr>
          <w:sz w:val="18"/>
          <w:lang w:val="pl-PL"/>
        </w:rPr>
        <w:t>wymagania wyższe zawierają wymagania niższe. Nie tworzy się wymagań na ocenę niedostateczną.</w:t>
      </w:r>
    </w:p>
    <w:p>
      <w:pPr>
        <w:pStyle w:val="Normal"/>
        <w:keepNext w:val="true"/>
        <w:spacing w:before="100" w:after="100"/>
        <w:rPr/>
      </w:pPr>
      <w:r>
        <w:rPr>
          <w:b/>
          <w:color w:val="1F4E78"/>
          <w:sz w:val="27"/>
          <w:lang w:val="pl-PL"/>
        </w:rPr>
        <w:t>Szczegółowe wymagania edukacyjne – do opracowania</w:t>
      </w:r>
    </w:p>
    <w:tbl>
      <w:tblPr>
        <w:tblW w:w="15222" w:type="dxa"/>
        <w:jc w:val="center"/>
        <w:tblInd w:w="0" w:type="dxa"/>
        <w:tblLayout w:type="fixed"/>
        <w:tblCellMar>
          <w:top w:w="95" w:type="dxa"/>
          <w:left w:w="80" w:type="dxa"/>
          <w:bottom w:w="95" w:type="dxa"/>
          <w:right w:w="80" w:type="dxa"/>
        </w:tblCellMar>
        <w:tblLook w:firstRow="0" w:noVBand="0" w:lastRow="0" w:firstColumn="0" w:lastColumn="0" w:noHBand="0" w:val="0000"/>
      </w:tblPr>
      <w:tblGrid>
        <w:gridCol w:w="1756"/>
        <w:gridCol w:w="2693"/>
        <w:gridCol w:w="2694"/>
        <w:gridCol w:w="2693"/>
        <w:gridCol w:w="2693"/>
        <w:gridCol w:w="2692"/>
      </w:tblGrid>
      <w:tr>
        <w:trPr>
          <w:tblHeader w:val="true"/>
        </w:trPr>
        <w:tc>
          <w:tcPr>
            <w:tcW w:w="175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1F4E78" w:val="clear"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b/>
                <w:color w:val="FFFFFF"/>
                <w:sz w:val="16"/>
                <w:lang w:val="pl-PL"/>
              </w:rPr>
              <w:t>Dział / obszar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1F4E78" w:val="clear"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b/>
                <w:color w:val="FFFFFF"/>
                <w:sz w:val="16"/>
                <w:lang w:val="pl-PL"/>
              </w:rPr>
              <w:t>2 – dopuszczająca</w:t>
            </w:r>
          </w:p>
        </w:tc>
        <w:tc>
          <w:tcPr>
            <w:tcW w:w="269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1F4E78" w:val="clear"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b/>
                <w:color w:val="FFFFFF"/>
                <w:sz w:val="16"/>
                <w:lang w:val="pl-PL"/>
              </w:rPr>
              <w:t>3 – dostateczna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1F4E78" w:val="clear"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b/>
                <w:color w:val="FFFFFF"/>
                <w:sz w:val="16"/>
                <w:lang w:val="pl-PL"/>
              </w:rPr>
              <w:t>4 –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1F4E78" w:val="clear"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b/>
                <w:color w:val="FFFFFF"/>
                <w:sz w:val="16"/>
                <w:lang w:val="pl-PL"/>
              </w:rPr>
              <w:t>5 – bardzo dobra</w:t>
            </w:r>
          </w:p>
        </w:tc>
        <w:tc>
          <w:tcPr>
            <w:tcW w:w="26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color="auto" w:fill="1F4E78" w:val="clear"/>
          </w:tcPr>
          <w:p>
            <w:pPr>
              <w:pStyle w:val="Normal"/>
              <w:spacing w:before="0" w:after="80"/>
              <w:jc w:val="center"/>
              <w:rPr/>
            </w:pPr>
            <w:r>
              <w:rPr>
                <w:b/>
                <w:color w:val="FFFFFF"/>
                <w:sz w:val="16"/>
                <w:lang w:val="pl-PL"/>
              </w:rPr>
              <w:t>6 – celująca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left w:w="85" w:type="dxa"/>
              <w:right w:w="85" w:type="dxa"/>
            </w:tcMar>
          </w:tcPr>
          <w:p>
            <w:pPr>
              <w:pStyle w:val="Zawartotabeli"/>
              <w:spacing w:lineRule="auto" w:line="276" w:before="0" w:after="140"/>
              <w:jc w:val="left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  <w:t>Rozdział I. Spotkanie z przyrodą</w:t>
            </w:r>
          </w:p>
          <w:p>
            <w:pPr>
              <w:pStyle w:val="Zawartotabeli"/>
              <w:spacing w:lineRule="auto" w:line="276" w:before="0" w:after="140"/>
              <w:jc w:val="left"/>
              <w:rPr>
                <w:b/>
                <w:bCs/>
                <w:lang w:val="pl-PL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  <w:lang w:val="pl-PL"/>
              </w:rPr>
            </w:pPr>
            <w:r>
              <w:rPr>
                <w:rFonts w:ascii="Arial Narrow" w:hAnsi="Arial Narrow"/>
                <w:sz w:val="24"/>
                <w:szCs w:val="24"/>
                <w:lang w:val="pl-PL"/>
              </w:rPr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left w:w="85" w:type="dxa"/>
              <w:right w:w="85" w:type="dxa"/>
            </w:tcMar>
          </w:tcPr>
          <w:p>
            <w:pPr>
              <w:pStyle w:val="Zawartotabeli"/>
              <w:spacing w:lineRule="auto" w:line="276" w:before="0" w:after="14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2"/>
                <w:sz w:val="24"/>
                <w:szCs w:val="24"/>
                <w:lang w:val="pl-PL"/>
              </w:rPr>
              <w:t xml:space="preserve">- Wymienia elementy przyrody ożywionej, nieożywionej i wytwory rąk ludzkich </w:t>
              <w:br/>
              <w:t xml:space="preserve">- Wymienia zmysły i przyrządy do obserwacji przyrody 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2"/>
                <w:sz w:val="24"/>
                <w:szCs w:val="24"/>
                <w:lang w:val="pl-PL"/>
              </w:rPr>
              <w:t>Przestrzega zasad b</w:t>
            </w:r>
            <w:r>
              <w:rPr>
                <w:rFonts w:cs="Arial" w:ascii="Arial Narrow" w:hAnsi="Arial Narrow"/>
                <w:color w:val="auto"/>
                <w:spacing w:val="-2"/>
                <w:sz w:val="24"/>
                <w:szCs w:val="24"/>
                <w:lang w:val="pl-PL"/>
              </w:rPr>
              <w:t>ezpieczeństwa; wymienia podstawowe przyrządy.</w:t>
            </w:r>
          </w:p>
        </w:tc>
        <w:tc>
          <w:tcPr>
            <w:tcW w:w="269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tabs>
                <w:tab w:val="clear" w:pos="708"/>
                <w:tab w:val="left" w:pos="168" w:leader="none"/>
              </w:tabs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Wyjaśnia pojęcie przyrody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br/>
              <w:t>- R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ozpoznaje jej elementy w terenie</w:t>
              <w:br/>
              <w:t>- Posługuje się kompasem (zna pojęcie widnokręgu),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rowadzi proste obserwacje z użyciem lupy oraz mikroskopu (zgodnie z instrukcją, szkicując obiekt).</w:t>
              <w:br/>
              <w:t xml:space="preserve">- Używa podstawowego sprzętu laboratoryjnego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- Wskazuje zależności między składnikami przyrody.</w:t>
              <w:br/>
              <w:t>- Dokumentuje obserwacje (odróżnia je od doświadczenia)</w:t>
              <w:br/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- P</w:t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rawidłowo odczytuje symbole ostrzegawcze na odczynnikach.</w:t>
              <w:br/>
              <w:t>- Samodzielnie oblicza powiększenie mikroskopu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W</w:t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 xml:space="preserve">yznacza kierunki geograficzne w terenie za pomocą kompasu. </w:t>
            </w:r>
          </w:p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Czerpie informacje przyrodnicze z różnych źródeł 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rezentuje wyniki swoich obserwacji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R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ozróżnia hipotezę od pytania badawczego.</w:t>
              <w:br/>
              <w:t>- Omawia budowę mikroskopu optycznego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otrafi wyznaczyć kierunki w terenie na podstawie obserwacji Słońca. </w:t>
            </w:r>
          </w:p>
        </w:tc>
        <w:tc>
          <w:tcPr>
            <w:tcW w:w="2692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Samodzielnie planuje i przeprowadza doświadczenia, formułując trafne wnioski. </w:t>
              <w:br/>
              <w:t xml:space="preserve">- Wykonuje własny preparat mikroskopowy. </w:t>
              <w:br/>
              <w:t>- Analizuje i ocenia wiarygodność źródeł wiedzy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T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łumaczy zasady działania kompasu i nawigacji GPS. 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  <w:t xml:space="preserve">Rozdział II. Moja okolica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4"/>
                <w:sz w:val="24"/>
                <w:szCs w:val="24"/>
                <w:lang w:val="pl-PL"/>
              </w:rPr>
              <w:t>- Wymienia elementy krajobrazu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4"/>
                <w:sz w:val="24"/>
                <w:szCs w:val="24"/>
                <w:lang w:val="pl-PL"/>
              </w:rPr>
              <w:t xml:space="preserve">Wymienia </w:t>
            </w:r>
            <w:r>
              <w:rPr>
                <w:rFonts w:cs="Arial" w:ascii="Arial Narrow" w:hAnsi="Arial Narrow"/>
                <w:color w:val="auto"/>
                <w:spacing w:val="-4"/>
                <w:sz w:val="24"/>
                <w:szCs w:val="24"/>
                <w:lang w:val="pl-PL"/>
              </w:rPr>
              <w:t xml:space="preserve">podstawowe formy terenu 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4"/>
                <w:sz w:val="24"/>
                <w:szCs w:val="24"/>
                <w:lang w:val="pl-PL"/>
              </w:rPr>
              <w:t xml:space="preserve">Wymienia </w:t>
            </w:r>
            <w:r>
              <w:rPr>
                <w:rFonts w:cs="Arial" w:ascii="Arial Narrow" w:hAnsi="Arial Narrow"/>
                <w:color w:val="auto"/>
                <w:spacing w:val="-4"/>
                <w:sz w:val="24"/>
                <w:szCs w:val="24"/>
                <w:lang w:val="pl-PL"/>
              </w:rPr>
              <w:t>pospolite gatunki lokalnych roślin i zwierząt.</w:t>
              <w:br/>
              <w:t>- Wyjaśnia, czym jest skała i gleba (wymienia jej składniki)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4"/>
                <w:sz w:val="24"/>
                <w:szCs w:val="24"/>
                <w:lang w:val="pl-PL"/>
              </w:rPr>
              <w:t>P</w:t>
            </w:r>
            <w:r>
              <w:rPr>
                <w:rFonts w:cs="Arial" w:ascii="Arial Narrow" w:hAnsi="Arial Narrow"/>
                <w:color w:val="auto"/>
                <w:spacing w:val="-4"/>
                <w:sz w:val="24"/>
                <w:szCs w:val="24"/>
                <w:lang w:val="pl-PL"/>
              </w:rPr>
              <w:t xml:space="preserve">otrafi sprawdzić obecność organizmów w glebie. </w:t>
            </w:r>
          </w:p>
        </w:tc>
        <w:tc>
          <w:tcPr>
            <w:tcW w:w="269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Rozpoznaje rodzaje krajobrazu i formy ukształtowania terenu na fotografiach. </w:t>
              <w:br/>
              <w:t>- Podaje przykłady korzyści z rolnictwa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O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pisuje podstawowe cechy skał (barwa, twardość),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W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yjaśnia pojęcie próchnicy i prowadzi długoterminową obserwację wpływu gleby na rośliny.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Porównuje krajobraz wiejski z miejskim i podaje przykłady form terenu.</w:t>
              <w:br/>
              <w:t xml:space="preserve">- Dzieli skały na lite, zwięzłe i luźne. </w:t>
              <w:br/>
              <w:t>- Omawia proces powstawania gleby.</w:t>
              <w:br/>
              <w:t xml:space="preserve">- Rozpoznaje gatunki flory i fauny w terenie (po wyglądzie i śladach).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2"/>
                <w:sz w:val="24"/>
                <w:szCs w:val="24"/>
                <w:lang w:val="pl-PL"/>
              </w:rPr>
              <w:t xml:space="preserve">- Opisuje dokładnie krajobraz i rzeźbę terenu najbliższej okolicy. </w:t>
              <w:br/>
              <w:t>-Bada właściwości skał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2"/>
                <w:sz w:val="24"/>
                <w:szCs w:val="24"/>
                <w:lang w:val="pl-PL"/>
              </w:rPr>
              <w:t>O</w:t>
            </w:r>
            <w:r>
              <w:rPr>
                <w:rFonts w:cs="Arial" w:ascii="Arial Narrow" w:hAnsi="Arial Narrow"/>
                <w:color w:val="auto"/>
                <w:spacing w:val="-2"/>
                <w:sz w:val="24"/>
                <w:szCs w:val="24"/>
                <w:lang w:val="pl-PL"/>
              </w:rPr>
              <w:t>kreśla cechy fizyczne lokalnej gleby (barwa, uziarnienie, grubość próchnicy).</w:t>
              <w:br/>
              <w:t xml:space="preserve">- Swobodnie korzysta z kluczy i atlasów do oznaczania gatunków. </w:t>
            </w:r>
          </w:p>
        </w:tc>
        <w:tc>
          <w:tcPr>
            <w:tcW w:w="2692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Analizuje zależności między elementami krajobrazu.</w:t>
              <w:br/>
              <w:t xml:space="preserve">- Ocenia przydatność lokalnych skał i gleb (samodzielnie przeprowadza badanie próbek). </w:t>
              <w:br/>
              <w:t xml:space="preserve">- Zakłada i prowadzi hodowlę roślin/zwierząt oraz analizuje zjawisko migracji dzikich zwierząt do miast (np. na terenach podmiejskich) 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  <w:t xml:space="preserve">Rozdział III. Zjawiska przyrodnicze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>- Wymienia stany skupienia materii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>P</w:t>
            </w: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 xml:space="preserve">odaje przykłady występowania wody w przyrodzie w różnych stanach. </w:t>
              <w:br/>
              <w:t>- Rozumie pojęcie drobiny.</w:t>
              <w:br/>
              <w:t xml:space="preserve">- Potrafi zmierzyć i odczytać temperaturę powietrza. </w:t>
            </w:r>
          </w:p>
        </w:tc>
        <w:tc>
          <w:tcPr>
            <w:tcW w:w="269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Przedstawia podział ciał stałych. </w:t>
              <w:br/>
              <w:t xml:space="preserve">- Rozpoznaje stany skupienia na schematach drobin i w rzeczywistości, obserwuje momenty przejść fazowych (np. skraplanie)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 xml:space="preserve">- Charakteryzuje różnice w cechach ciał stałych, cieczy i gazów. </w:t>
              <w:br/>
              <w:t>- Rysuje model drobinowy i tłumaczy zjawisko ściśliwości.</w:t>
              <w:br/>
              <w:t xml:space="preserve">- Zna budowę termometru i poprawnie nazywa wszystkie procesy zmiany stanów skupienia.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tabs>
                <w:tab w:val="clear" w:pos="708"/>
                <w:tab w:val="left" w:pos="368" w:leader="none"/>
              </w:tabs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- Bada i udowadnia ściśliwość materii w różnych stanach.</w:t>
              <w:br/>
              <w:t>- Precyzyjnie opisuje ułożenie drobin wody w lodzie, cieczy i parze.</w:t>
              <w:br/>
              <w:t xml:space="preserve">- Tłumaczy schemat obiegu wody w przyrodzie. </w:t>
            </w:r>
          </w:p>
        </w:tc>
        <w:tc>
          <w:tcPr>
            <w:tcW w:w="2692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BioTableSmall"/>
              <w:widowControl/>
              <w:bidi w:val="0"/>
              <w:spacing w:lineRule="auto" w:line="276" w:before="0" w:after="160"/>
              <w:ind w:hanging="0" w:left="-57" w:right="57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sz w:val="24"/>
                <w:szCs w:val="24"/>
              </w:rPr>
              <w:t>- Samodzielnie projektuje doświadczenie udowadniające ruch drobin.</w:t>
              <w:br/>
              <w:t>- Bada właściwości wody w korelacji z temperaturą.</w:t>
              <w:br/>
              <w:t xml:space="preserve">- Odróżnia parowanie od wrzenia na poziomie drobinowym i analizuje te procesy w codziennym życiu (np. podczas gotowania). 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  <w:t xml:space="preserve">Rozdział IV. Obserwuję pogodę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 xml:space="preserve">- Wymienia opady i osady atmosferyczne. </w:t>
              <w:br/>
              <w:t xml:space="preserve">- Wie, czym jest wiatr. Zna nazwy podstawowych przyrządów meteorologicznych. </w:t>
              <w:br/>
              <w:t xml:space="preserve">- Rozumie pojęcie odwodnienia organizmu. </w:t>
            </w:r>
          </w:p>
        </w:tc>
        <w:tc>
          <w:tcPr>
            <w:tcW w:w="269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Wymienia wszystkie składniki pogody i podstawowe rodzaje chmur. - Rozpoznaje osady zimowe i przyrządy w ogródku meteorologicznym.</w:t>
              <w:br/>
              <w:t xml:space="preserve">- Wymienia sposoby przystosowania się zwierząt i roślin do zimy.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- Samodzielnie prowadzi pomiary składników pogody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P</w:t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oprawnie definiuje ciśnienie atmosferyczne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>T</w:t>
            </w: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 xml:space="preserve">łumaczy powstawanie wiatru. </w:t>
              <w:br/>
              <w:t xml:space="preserve">- Charakteryzuje strategie przetrwania organizmów (zapasy, migracje, sen zimowy).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pacing w:val="-3"/>
                <w:sz w:val="24"/>
                <w:szCs w:val="24"/>
                <w:lang w:val="pl-PL"/>
              </w:rPr>
              <w:t xml:space="preserve">- Analizuje i odczytuje prostą mapę pogody. </w:t>
              <w:br/>
              <w:t>- Wskazuje zależność między różnicą ciśnień a siłą wiatru.</w:t>
              <w:br/>
              <w:t xml:space="preserve">- Szczegółowo wyjaśnia wpływ skrajnych temperatur (upał, mróz) na funkcjonowanie organizmów. </w:t>
            </w:r>
          </w:p>
        </w:tc>
        <w:tc>
          <w:tcPr>
            <w:tcW w:w="2692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Prowadzi systematyczną, długoterminową obserwację pogody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T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worzy autorską mapę pogody dla swojej miejscowości z użyciem prawidłowych jednostek.</w:t>
              <w:br/>
              <w:t xml:space="preserve">- Tłumaczy mechanizm powstawania chmur i przewiduje załamania pogody. </w:t>
              <w:br/>
              <w:t xml:space="preserve">- Omawia izolacyjną rolę śniegu w ekosystemie. 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  <w:t xml:space="preserve">Rozdział V. Jak działają organizmy?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>- Wymienia podstawowe cechy organizmów żywych.</w:t>
              <w:br/>
              <w:t xml:space="preserve">- Dzieli zwierzęta na grupy pod względem pobieranego pokarmu. </w:t>
              <w:br/>
              <w:t xml:space="preserve">- Odróżnia organizmy jednokomórkowe od wielokomórkowych </w:t>
            </w:r>
          </w:p>
        </w:tc>
        <w:tc>
          <w:tcPr>
            <w:tcW w:w="269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2"/>
                <w:sz w:val="24"/>
                <w:szCs w:val="24"/>
                <w:lang w:val="pl-PL"/>
              </w:rPr>
              <w:t>- Zna hierarchię budowy organizmu (komórka -&gt; tkanka -&gt; narząd -&gt; układ).</w:t>
              <w:br/>
              <w:t xml:space="preserve">- Rozumie pojęcie łańcucha pokarmowego. </w:t>
              <w:br/>
              <w:t xml:space="preserve">- Prowadzi obserwację komórki pod mikroskopem i zna substraty oraz produkty fotosyntezy.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 xml:space="preserve">- Przygotowuje własny preparat mikroskopowy ze skórki cebuli. </w:t>
              <w:br/>
              <w:t>- Zna skład powietrza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>T</w:t>
            </w: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 xml:space="preserve">rafnie odróżnia organizmy samożywne od cudzożywnych (tłumacząc te pojęcia).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Omawia komórkową budowę organizmów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T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worzy poprawne sieci i łańcuchy pokarmowe.</w:t>
              <w:br/>
              <w:t xml:space="preserve">- Szczegółowo omawia rolę światła chlorofilu w procesie fotosyntezy. </w:t>
            </w:r>
          </w:p>
        </w:tc>
        <w:tc>
          <w:tcPr>
            <w:tcW w:w="2692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FFFFF" w:themeFill="background1" w:val="clear"/>
            <w:tcMar>
              <w:left w:w="85" w:type="dxa"/>
              <w:right w:w="85" w:type="dxa"/>
            </w:tcMar>
          </w:tcPr>
          <w:p>
            <w:pPr>
              <w:pStyle w:val="Normal"/>
              <w:widowControl/>
              <w:shd w:val="clear" w:color="auto" w:fill="FFFFFF"/>
              <w:suppressAutoHyphens w:val="true"/>
              <w:bidi w:val="0"/>
              <w:spacing w:lineRule="auto" w:line="276" w:before="0" w:after="80"/>
              <w:ind w:hanging="0" w:left="-57" w:right="34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pacing w:val="-1"/>
                <w:sz w:val="24"/>
                <w:szCs w:val="24"/>
                <w:lang w:val="pl-PL"/>
              </w:rPr>
              <w:t>- Bada doświadczalnie wpływ światła na intensywność fotosyntezy i wyciąga wnioski.</w:t>
              <w:br/>
              <w:t>- Tłumaczy przystosowania ewolucyjne roślinożerców i drapieżników do zdobywania pokarmu.</w:t>
              <w:br/>
              <w:t xml:space="preserve">- Opisuje zróżnicowanie kształtów komórek w zależności od pełnionej funkcji. 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  <w:t xml:space="preserve">Rozdział VI. Moje ciało </w:t>
            </w:r>
          </w:p>
          <w:p>
            <w:pPr>
              <w:pStyle w:val="Normal"/>
              <w:spacing w:lineRule="auto" w:line="276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Wymienia główne układy narządów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Wymienia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składniki pokarmowe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W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skazuje funkcję mózgu i układu rozrodczego. </w:t>
              <w:br/>
              <w:t xml:space="preserve">- Zna i stosuje podstawowe zasady higieny (np. prawidłowe mycie rąk). </w:t>
            </w:r>
          </w:p>
          <w:p>
            <w:pPr>
              <w:pStyle w:val="Normal"/>
              <w:spacing w:lineRule="auto" w:line="276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</w:tc>
        <w:tc>
          <w:tcPr>
            <w:tcW w:w="2694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Rozpoznaje na schematach narządy wewnętrzne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O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pisuje podstawową pracę serca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W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skazuje lokalizację gruczołów trawiennych</w:t>
              <w:br/>
              <w:t>- Zna drogi zakażenia pasożytami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Wymienia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oznaki dojrzewania biologicznego.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Omawia drogę pokarmu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Omawia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proces wymiany gazowej w płucach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Zna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podział układu ruchu na szkielet i mięśnie.</w:t>
              <w:br/>
              <w:t>- Opisuje chronologicznie etapy życia człowieka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Z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na zasady profilaktyki chorób zakaźnych. </w:t>
            </w:r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-Tłumaczy mechanizm oddychania komórkowego.</w:t>
              <w:br/>
              <w:t>- Rozumie relacje między układami (np. rola nerek we krwi).</w:t>
              <w:br/>
              <w:t>- Wyjaśnia proces przetwarzania bodźców przez układ nerwowy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Omawia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 mechanizmy rozprzestrzeniania się patogenów. </w:t>
            </w:r>
          </w:p>
        </w:tc>
        <w:tc>
          <w:tcPr>
            <w:tcW w:w="2692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Analizuje ciało jako spójny system – opisuje współpracę kości, mięśni i stawów.</w:t>
              <w:br/>
              <w:t>- Czyta etykiety żywności korelując dietę ze zdrowiem.</w:t>
              <w:br/>
              <w:t xml:space="preserve">- Wykrywa doświadczalnie CO2 w wydychanym powietrzu. </w:t>
              <w:br/>
              <w:t xml:space="preserve">- Analizuje obustronny (pozytywny i negatywny) wpływ bakterii na ludzki organizm. 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Rozdział VII. Życie na lądzie </w:t>
            </w:r>
          </w:p>
        </w:tc>
        <w:tc>
          <w:tcPr>
            <w:tcW w:w="2693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- Wymienia rodz</w:t>
            </w:r>
            <w:r>
              <w:rPr>
                <w:rFonts w:ascii="Arial Narrow" w:hAnsi="Arial Narrow"/>
                <w:sz w:val="24"/>
                <w:szCs w:val="24"/>
              </w:rPr>
              <w:t>a</w:t>
            </w:r>
            <w:r>
              <w:rPr>
                <w:rFonts w:ascii="Arial Narrow" w:hAnsi="Arial Narrow"/>
                <w:sz w:val="24"/>
                <w:szCs w:val="24"/>
              </w:rPr>
              <w:t>je lasów</w:t>
              <w:br/>
              <w:t xml:space="preserve">- </w:t>
            </w:r>
            <w:r>
              <w:rPr>
                <w:rFonts w:ascii="Arial Narrow" w:hAnsi="Arial Narrow"/>
                <w:sz w:val="24"/>
                <w:szCs w:val="24"/>
              </w:rPr>
              <w:t xml:space="preserve">Wymienia </w:t>
            </w:r>
            <w:r>
              <w:rPr>
                <w:rFonts w:ascii="Arial Narrow" w:hAnsi="Arial Narrow"/>
                <w:sz w:val="24"/>
                <w:szCs w:val="24"/>
              </w:rPr>
              <w:t>typy środowisk (wodne/lądowe)</w:t>
              <w:br/>
              <w:t xml:space="preserve">- </w:t>
            </w:r>
            <w:r>
              <w:rPr>
                <w:rFonts w:ascii="Arial Narrow" w:hAnsi="Arial Narrow"/>
                <w:sz w:val="24"/>
                <w:szCs w:val="24"/>
              </w:rPr>
              <w:t>Zna</w:t>
            </w:r>
            <w:r>
              <w:rPr>
                <w:rFonts w:ascii="Arial Narrow" w:hAnsi="Arial Narrow"/>
                <w:sz w:val="24"/>
                <w:szCs w:val="24"/>
              </w:rPr>
              <w:t xml:space="preserve"> podstawowe organizmy leśne i polne.</w:t>
              <w:br/>
              <w:t xml:space="preserve">- Rozpoznaje najpopularniejsze polskie uprawy rolne. </w:t>
            </w:r>
          </w:p>
        </w:tc>
        <w:tc>
          <w:tcPr>
            <w:tcW w:w="2694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4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Przedstawia sposoby poruszania się zwierząt lądowych.</w:t>
            </w:r>
          </w:p>
          <w:p>
            <w:pPr>
              <w:pStyle w:val="Normal"/>
              <w:spacing w:lineRule="auto" w:line="24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Rozpoznaje i nazywa piętra lasu oraz wybrane gatunki łąkowe.</w:t>
            </w:r>
          </w:p>
          <w:p>
            <w:pPr>
              <w:pStyle w:val="Normal"/>
              <w:spacing w:lineRule="auto" w:line="240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Potrafi zidentyfikować podstawowe organizmy jadowite i trujące. </w:t>
            </w:r>
          </w:p>
        </w:tc>
        <w:tc>
          <w:tcPr>
            <w:tcW w:w="2693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4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Omawia przystosowania ewolucyjne do życia na lądzie. </w:t>
              <w:br/>
              <w:t>- Przypisuje organizmy do konkretnych pięter lasu.</w:t>
            </w:r>
          </w:p>
          <w:p>
            <w:pPr>
              <w:pStyle w:val="Normal"/>
              <w:spacing w:lineRule="auto" w:line="240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Wskazuje różnice ekologiczne między lasem a łąką, dzieli rośliny uprawne na grupy (zboża, oleiste, warzywa itp.). </w:t>
            </w:r>
          </w:p>
        </w:tc>
        <w:tc>
          <w:tcPr>
            <w:tcW w:w="2693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Porównuje mechanikę ruchu lądowego (skok, bieg).</w:t>
              <w:br/>
              <w:t>- Charakteryzuje mikroklimat poszczególnych pięter lasu.</w:t>
              <w:br/>
              <w:t>- Charakteryzuje pole uprawne jako sztuczny ekosystem.</w:t>
              <w:br/>
              <w:t>- Wie, jak udzielić pierwszej pomocy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Wie jak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zareagować w kontakcie z niebezpieczną rośliną lub grzybem. </w:t>
            </w:r>
          </w:p>
        </w:tc>
        <w:tc>
          <w:tcPr>
            <w:tcW w:w="2692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Analizuje aerodynamikę ptaków i owadów. </w:t>
              <w:br/>
              <w:t xml:space="preserve">- Ocenia wpływ działalności człowieka na ekosystemy leśne i polne. </w:t>
              <w:br/>
              <w:t xml:space="preserve">- Identyfikuje zwierzęta po tropach i odróżnia gatunki mylące się (np. żmija/zaskroniec). </w:t>
              <w:br/>
              <w:t xml:space="preserve">- Tłumaczy znaczenie łąk kwietnych w środowisku zurbanizowanym. </w:t>
            </w:r>
          </w:p>
        </w:tc>
      </w:tr>
      <w:tr>
        <w:trPr>
          <w:trHeight w:val="1786" w:hRule="atLeast"/>
        </w:trPr>
        <w:tc>
          <w:tcPr>
            <w:tcW w:w="1756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val="pl-PL"/>
              </w:rPr>
              <w:t xml:space="preserve">Rozdział VIII. Życie w wodzie </w:t>
            </w:r>
          </w:p>
        </w:tc>
        <w:tc>
          <w:tcPr>
            <w:tcW w:w="2693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Prawidłowo odróżnia wody stojące od płynących.</w:t>
              <w:br/>
              <w:t>- Klasyfikuje cieki wodne (naturalne rzeki vs sztuczne kanały)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P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odaje przykłady lokalnych zbiorników wodnych. </w:t>
            </w:r>
          </w:p>
        </w:tc>
        <w:tc>
          <w:tcPr>
            <w:tcW w:w="2694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Wymienia strefy życia w jeziorze.</w:t>
              <w:br/>
              <w:t>- Nazywa pospolite rośliny i zwierzęta wodne.</w:t>
              <w:br/>
              <w:t xml:space="preserve">- Wskazuje podstawowe różnice w wyglądzie zewnętrznym organizmów wodnych w stosunku do lądowych. </w:t>
            </w:r>
          </w:p>
        </w:tc>
        <w:tc>
          <w:tcPr>
            <w:tcW w:w="2693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- Omawia czynniki abiotyczne warunkujące życie w wodzie (tlen, światło, temperatura). </w:t>
              <w:br/>
              <w:t>- Tłumaczy adaptacje organizmów do życia w wartkim nurcie rzeki (np. przyssawki).</w:t>
              <w:br/>
              <w:t xml:space="preserve">- Przypisuje konkretne gatunki do stref jeziora. </w:t>
            </w:r>
          </w:p>
        </w:tc>
        <w:tc>
          <w:tcPr>
            <w:tcW w:w="2693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Szczegółowo charakteryzuje znaczenie opływowego kształtu ciała, płetw, śluzu i skrzeli.</w:t>
              <w:br/>
              <w:t>-Tłumaczy różnice środowiskowe między biegiem górnym, środkowym i dolnym rzeki</w:t>
              <w:br/>
              <w:t xml:space="preserve">-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Omawia </w:t>
            </w: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 xml:space="preserve">spadek światła wraz z głębokością w jeziorze. </w:t>
            </w:r>
          </w:p>
        </w:tc>
        <w:tc>
          <w:tcPr>
            <w:tcW w:w="2692" w:type="dxa"/>
            <w:tcBorders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color="auto" w:fill="F5F8FA" w:val="clear"/>
            <w:tcMar>
              <w:left w:w="85" w:type="dxa"/>
              <w:right w:w="85" w:type="dxa"/>
            </w:tcMar>
          </w:tcPr>
          <w:p>
            <w:pPr>
              <w:pStyle w:val="Normal"/>
              <w:spacing w:lineRule="auto" w:line="276" w:before="0" w:after="80"/>
              <w:jc w:val="left"/>
              <w:rPr>
                <w:rFonts w:ascii="Arial Narrow" w:hAnsi="Arial Narrow" w:cs="Arial"/>
                <w:color w:val="auto"/>
                <w:sz w:val="24"/>
                <w:szCs w:val="24"/>
                <w:lang w:val="pl-PL"/>
              </w:rPr>
            </w:pPr>
            <w:r>
              <w:rPr>
                <w:rFonts w:cs="Arial" w:ascii="Arial Narrow" w:hAnsi="Arial Narrow"/>
                <w:color w:val="auto"/>
                <w:sz w:val="24"/>
                <w:szCs w:val="24"/>
                <w:lang w:val="pl-PL"/>
              </w:rPr>
              <w:t>- Fizycznie porównuje gęstość i opór wody w stosunku do powietrza w kontekście ruchu zwierząt.</w:t>
              <w:br/>
              <w:t>- Bada pod mikroskopem próbki wody z lokalnych zbiorników.</w:t>
              <w:br/>
              <w:t xml:space="preserve">- Samodzielnie analizuje stan rzek w swojej okolicy i argumentuje konieczność ochrony wód powierzchniowych. </w:t>
            </w:r>
          </w:p>
        </w:tc>
      </w:tr>
    </w:tbl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Normal"/>
        <w:spacing w:before="0" w:after="80"/>
        <w:rPr>
          <w:lang w:val="pl-PL"/>
        </w:rPr>
      </w:pPr>
      <w:r>
        <w:rPr>
          <w:lang w:val="pl-PL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ptos">
    <w:charset w:val="ee"/>
    <w:family w:val="roman"/>
    <w:pitch w:val="variable"/>
  </w:font>
  <w:font w:name="Calibri Light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Humanst521EU-Normal">
    <w:charset w:val="ee"/>
    <w:family w:val="roman"/>
    <w:pitch w:val="variable"/>
  </w:font>
  <w:font w:name="Arial Narrow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7a9c"/>
    <w:pPr>
      <w:widowControl/>
      <w:suppressAutoHyphens w:val="true"/>
      <w:bidi w:val="0"/>
      <w:spacing w:lineRule="auto" w:line="254" w:before="0" w:after="80"/>
      <w:jc w:val="left"/>
    </w:pPr>
    <w:rPr>
      <w:rFonts w:ascii="Aptos" w:hAnsi="Aptos" w:eastAsia="Aptos" w:cs="Times New Roman"/>
      <w:color w:val="243746"/>
      <w:kern w:val="0"/>
      <w:sz w:val="20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8c7a9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8c7a9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8c7a9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8c7a9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8c7a9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8c7a9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8c7a9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8c7a9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8c7a9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8c7a9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8c7a9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8c7a9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8c7a9c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8c7a9c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8c7a9c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8c7a9c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8c7a9c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8c7a9c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8c7a9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8c7a9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8c7a9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c7a9c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8c7a9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c7a9c"/>
    <w:rPr>
      <w:b/>
      <w:bCs/>
      <w:smallCaps/>
      <w:color w:themeColor="accent1" w:themeShade="bf" w:val="2F5496"/>
      <w:spacing w:val="5"/>
    </w:rPr>
  </w:style>
  <w:style w:type="character" w:styleId="TekstpodstawowywcityZnak" w:customStyle="1">
    <w:name w:val="Tekst podstawowy wcięty Znak"/>
    <w:basedOn w:val="DefaultParagraphFont"/>
    <w:semiHidden/>
    <w:qFormat/>
    <w:rsid w:val="008c7a9c"/>
    <w:rPr>
      <w:rFonts w:ascii="Times New Roman" w:hAnsi="Times New Roman" w:eastAsia="Times New Roman" w:cs="Times New Roman"/>
      <w:b/>
      <w:bCs/>
      <w:color w:val="000000"/>
      <w:spacing w:val="-1"/>
      <w:kern w:val="0"/>
      <w:sz w:val="18"/>
      <w:szCs w:val="18"/>
      <w:shd w:fill="FFFFFF" w:val="clear"/>
      <w:lang w:eastAsia="pl-PL"/>
      <w14:ligatures w14:val="non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8c7a9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8c7a9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8c7a9c"/>
    <w:pPr>
      <w:spacing w:before="160" w:after="8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c7a9c"/>
    <w:pPr>
      <w:spacing w:before="0" w:after="8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8c7a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BioTableSmall" w:customStyle="1">
    <w:name w:val="BioTableSmall"/>
    <w:qFormat/>
    <w:rsid w:val="008c7a9c"/>
    <w:pPr>
      <w:widowControl/>
      <w:bidi w:val="0"/>
      <w:spacing w:lineRule="auto" w:line="276" w:before="0" w:after="160"/>
      <w:jc w:val="left"/>
    </w:pPr>
    <w:rPr>
      <w:rFonts w:ascii="Aptos" w:hAnsi="Aptos" w:eastAsia="Aptos" w:cs="Times New Roman"/>
      <w:color w:val="auto"/>
      <w:kern w:val="2"/>
      <w:sz w:val="12"/>
      <w:szCs w:val="24"/>
      <w:lang w:val="pl-PL" w:eastAsia="en-US" w:bidi="ar-SA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8c7a9c"/>
    <w:pPr>
      <w:widowControl w:val="false"/>
      <w:suppressAutoHyphens w:val="false"/>
      <w:spacing w:lineRule="auto" w:line="240" w:before="0" w:after="0"/>
      <w:ind w:hanging="170" w:left="221"/>
    </w:pPr>
    <w:rPr>
      <w:rFonts w:ascii="Humanst521EU-Normal" w:hAnsi="Humanst521EU-Normal" w:eastAsia="Humanst521EU-Normal" w:cs="Humanst521EU-Normal"/>
      <w:color w:val="auto"/>
      <w:sz w:val="22"/>
      <w:lang w:val="pl-PL"/>
    </w:rPr>
  </w:style>
  <w:style w:type="paragraph" w:styleId="BodyTextIndent">
    <w:name w:val="Body Text Indent"/>
    <w:basedOn w:val="Normal"/>
    <w:link w:val="TekstpodstawowywcityZnak"/>
    <w:semiHidden/>
    <w:unhideWhenUsed/>
    <w:rsid w:val="008c7a9c"/>
    <w:pPr>
      <w:shd w:val="clear" w:color="auto" w:fill="FFFFFF"/>
      <w:suppressAutoHyphens w:val="false"/>
      <w:spacing w:lineRule="auto" w:line="240" w:before="0" w:after="0"/>
      <w:ind w:hanging="113" w:left="113"/>
    </w:pPr>
    <w:rPr>
      <w:rFonts w:ascii="Times New Roman" w:hAnsi="Times New Roman" w:eastAsia="Times New Roman"/>
      <w:b/>
      <w:bCs/>
      <w:color w:val="000000"/>
      <w:spacing w:val="-1"/>
      <w:sz w:val="18"/>
      <w:szCs w:val="18"/>
      <w:lang w:val="pl-PL" w:eastAsia="pl-PL"/>
    </w:rPr>
  </w:style>
  <w:style w:type="paragraph" w:styleId="Zawartotabeli">
    <w:name w:val="Zawartość tabeli"/>
    <w:basedOn w:val="Normal"/>
    <w:qFormat/>
    <w:pPr>
      <w:widowControl w:val="false"/>
      <w:suppressLineNumbers/>
      <w:suppressAutoHyphens w:val="tru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LibreOffice/7.6.7.2$Windows_X86_64 LibreOffice_project/dd47e4b30cb7dab30588d6c79c651f218165e3c5</Application>
  <AppVersion>15.0000</AppVersion>
  <Pages>6</Pages>
  <Words>1378</Words>
  <Characters>8618</Characters>
  <CharactersWithSpaces>9986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2026-08-25T14:22:00Z</dcterms:created>
  <dc:creator>Monika Załęska</dc:creator>
  <dc:description/>
  <dc:language>pl-PL</dc:language>
  <cp:lastModifiedBy/>
  <cp:lastPrinted>2026-08-26T12:27:00Z</cp:lastPrinted>
  <dcterms:modified xsi:type="dcterms:W3CDTF">2026-09-01T17:11:25Z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