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55212" w14:textId="77777777" w:rsidR="00764E82" w:rsidRDefault="001E4EDF">
      <w:pPr>
        <w:spacing w:before="360"/>
        <w:jc w:val="center"/>
        <w:rPr>
          <w:b/>
          <w:color w:val="1F4E78"/>
          <w:sz w:val="24"/>
          <w:lang w:val="pl-PL"/>
        </w:rPr>
      </w:pPr>
      <w:r>
        <w:rPr>
          <w:b/>
          <w:color w:val="1F4E78"/>
          <w:sz w:val="24"/>
          <w:lang w:val="pl-PL"/>
        </w:rPr>
        <w:t>SZKOŁA PODSTAWOWA NR 59</w:t>
      </w:r>
    </w:p>
    <w:p w14:paraId="270A3D81" w14:textId="77777777" w:rsidR="00764E82" w:rsidRDefault="001E4EDF">
      <w:pPr>
        <w:spacing w:after="440"/>
        <w:jc w:val="center"/>
        <w:rPr>
          <w:color w:val="5F6B75"/>
          <w:lang w:val="pl-PL"/>
        </w:rPr>
      </w:pPr>
      <w:r>
        <w:rPr>
          <w:color w:val="5F6B75"/>
          <w:lang w:val="pl-PL"/>
        </w:rPr>
        <w:t>im. gen. J. H. Dąbrowskiego w Poznaniu</w:t>
      </w:r>
    </w:p>
    <w:p w14:paraId="4EE643D9" w14:textId="77777777" w:rsidR="00764E82" w:rsidRDefault="001E4EDF">
      <w:pPr>
        <w:jc w:val="center"/>
        <w:rPr>
          <w:b/>
          <w:color w:val="1F4E78"/>
          <w:sz w:val="50"/>
          <w:lang w:val="pl-PL"/>
        </w:rPr>
      </w:pPr>
      <w:r>
        <w:rPr>
          <w:b/>
          <w:color w:val="1F4E78"/>
          <w:sz w:val="50"/>
          <w:lang w:val="pl-PL"/>
        </w:rPr>
        <w:t>WYMAGANIA EDUKACYJNE</w:t>
      </w:r>
    </w:p>
    <w:p w14:paraId="72C5B3D5" w14:textId="77777777" w:rsidR="00764E82" w:rsidRDefault="001E4EDF">
      <w:pPr>
        <w:spacing w:after="360"/>
        <w:jc w:val="center"/>
        <w:rPr>
          <w:b/>
          <w:color w:val="5B9BD5"/>
          <w:sz w:val="24"/>
          <w:lang w:val="pl-PL"/>
        </w:rPr>
      </w:pPr>
      <w:r>
        <w:rPr>
          <w:b/>
          <w:color w:val="5B9BD5"/>
          <w:sz w:val="24"/>
          <w:lang w:val="pl-PL"/>
        </w:rPr>
        <w:t>rok szkolny 2026/2027</w:t>
      </w:r>
    </w:p>
    <w:tbl>
      <w:tblPr>
        <w:tblW w:w="10092" w:type="dxa"/>
        <w:jc w:val="center"/>
        <w:tblLayout w:type="fixed"/>
        <w:tblCellMar>
          <w:top w:w="95" w:type="dxa"/>
          <w:left w:w="130" w:type="dxa"/>
          <w:bottom w:w="95" w:type="dxa"/>
          <w:right w:w="130" w:type="dxa"/>
        </w:tblCellMar>
        <w:tblLook w:val="04A0" w:firstRow="1" w:lastRow="0" w:firstColumn="1" w:lastColumn="0" w:noHBand="0" w:noVBand="1"/>
      </w:tblPr>
      <w:tblGrid>
        <w:gridCol w:w="2835"/>
        <w:gridCol w:w="7257"/>
      </w:tblGrid>
      <w:tr w:rsidR="00764E82" w14:paraId="7D11AFEF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2590EC5D" w14:textId="77777777" w:rsidR="00764E82" w:rsidRDefault="001E4EDF">
            <w:pPr>
              <w:rPr>
                <w:b/>
                <w:color w:val="1F4E78"/>
                <w:sz w:val="18"/>
                <w:lang w:val="pl-PL"/>
              </w:rPr>
            </w:pPr>
            <w:r>
              <w:rPr>
                <w:b/>
                <w:color w:val="1F4E78"/>
                <w:sz w:val="18"/>
                <w:lang w:val="pl-PL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43C87A89" w14:textId="77777777" w:rsidR="00764E82" w:rsidRDefault="001E4EDF">
            <w:pPr>
              <w:rPr>
                <w:i/>
                <w:color w:val="5F6B75"/>
                <w:sz w:val="18"/>
                <w:lang w:val="pl-PL"/>
              </w:rPr>
            </w:pPr>
            <w:r>
              <w:rPr>
                <w:i/>
                <w:color w:val="5F6B75"/>
                <w:sz w:val="18"/>
                <w:lang w:val="pl-PL"/>
              </w:rPr>
              <w:t>Edukacja zdrowotna</w:t>
            </w:r>
          </w:p>
        </w:tc>
      </w:tr>
      <w:tr w:rsidR="00764E82" w14:paraId="53D32395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2A975FAF" w14:textId="77777777" w:rsidR="00764E82" w:rsidRDefault="001E4EDF">
            <w:pPr>
              <w:rPr>
                <w:b/>
                <w:color w:val="1F4E78"/>
                <w:sz w:val="18"/>
                <w:lang w:val="pl-PL"/>
              </w:rPr>
            </w:pPr>
            <w:r>
              <w:rPr>
                <w:b/>
                <w:color w:val="1F4E78"/>
                <w:sz w:val="18"/>
                <w:lang w:val="pl-PL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0C3E79CB" w14:textId="77777777" w:rsidR="00764E82" w:rsidRDefault="001E4EDF">
            <w:r>
              <w:rPr>
                <w:i/>
                <w:color w:val="5F6B75"/>
                <w:sz w:val="18"/>
                <w:lang w:val="pl-PL"/>
              </w:rPr>
              <w:t>ósma</w:t>
            </w:r>
          </w:p>
        </w:tc>
      </w:tr>
      <w:tr w:rsidR="00764E82" w14:paraId="5C306247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6608E5DD" w14:textId="77777777" w:rsidR="00764E82" w:rsidRDefault="001E4EDF">
            <w:pPr>
              <w:rPr>
                <w:b/>
                <w:color w:val="1F4E78"/>
                <w:sz w:val="18"/>
                <w:lang w:val="pl-PL"/>
              </w:rPr>
            </w:pPr>
            <w:r>
              <w:rPr>
                <w:b/>
                <w:color w:val="1F4E78"/>
                <w:sz w:val="18"/>
                <w:lang w:val="pl-PL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7E674E36" w14:textId="77777777" w:rsidR="00764E82" w:rsidRDefault="001E4EDF">
            <w:pPr>
              <w:rPr>
                <w:i/>
                <w:color w:val="5F6B75"/>
                <w:sz w:val="18"/>
                <w:lang w:val="pl-PL"/>
              </w:rPr>
            </w:pPr>
            <w:r>
              <w:rPr>
                <w:i/>
                <w:color w:val="5F6B75"/>
                <w:sz w:val="18"/>
                <w:lang w:val="pl-PL"/>
              </w:rPr>
              <w:t>Magdalena Banasik</w:t>
            </w:r>
          </w:p>
        </w:tc>
      </w:tr>
      <w:tr w:rsidR="00764E82" w14:paraId="475F9B5E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473736F4" w14:textId="77777777" w:rsidR="00764E82" w:rsidRDefault="001E4EDF">
            <w:pPr>
              <w:rPr>
                <w:b/>
                <w:color w:val="1F4E78"/>
                <w:sz w:val="18"/>
                <w:lang w:val="pl-PL"/>
              </w:rPr>
            </w:pPr>
            <w:r>
              <w:rPr>
                <w:b/>
                <w:color w:val="1F4E78"/>
                <w:sz w:val="18"/>
                <w:lang w:val="pl-PL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2C43FD77" w14:textId="77777777" w:rsidR="00764E82" w:rsidRDefault="001E4EDF">
            <w:pPr>
              <w:rPr>
                <w:sz w:val="18"/>
                <w:szCs w:val="18"/>
              </w:rPr>
            </w:pPr>
            <w:r>
              <w:rPr>
                <w:rFonts w:ascii="Arial" w:eastAsia="MS Mincho;ＭＳ 明朝" w:hAnsi="Arial" w:cs="Arial"/>
                <w:color w:val="000000"/>
                <w:sz w:val="17"/>
              </w:rPr>
              <w:t xml:space="preserve">„Nasze zdrowie” – klasy 7–8 </w:t>
            </w:r>
            <w:r>
              <w:rPr>
                <w:rFonts w:eastAsia="MS Mincho;ＭＳ 明朝"/>
                <w:color w:val="000000"/>
                <w:sz w:val="18"/>
                <w:szCs w:val="18"/>
              </w:rPr>
              <w:t>Katarzyna Przybysz z  aktualizacją z  2026</w:t>
            </w:r>
          </w:p>
        </w:tc>
      </w:tr>
      <w:tr w:rsidR="00764E82" w14:paraId="29CD0CE0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39D83685" w14:textId="77777777" w:rsidR="00764E82" w:rsidRDefault="001E4EDF">
            <w:pPr>
              <w:rPr>
                <w:b/>
                <w:color w:val="1F4E78"/>
                <w:sz w:val="18"/>
                <w:lang w:val="pl-PL"/>
              </w:rPr>
            </w:pPr>
            <w:r>
              <w:rPr>
                <w:b/>
                <w:color w:val="1F4E78"/>
                <w:sz w:val="18"/>
                <w:lang w:val="pl-PL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36B07032" w14:textId="77777777" w:rsidR="00764E82" w:rsidRDefault="001E4EDF">
            <w:r>
              <w:rPr>
                <w:i/>
                <w:iCs/>
                <w:color w:val="808080"/>
                <w:sz w:val="18"/>
                <w:szCs w:val="18"/>
                <w:lang w:val="pl-PL"/>
              </w:rPr>
              <w:t>Podstawa programowa kształcenia ogólnego w zakresie przedmiotu edukacja zdrowotna dla szkoły podstawowej, określona w Rozporządzeniu Ministra Edukacji z dnia 11 marca 2026 r. w sprawie podstawy programowej wychowania przedszkolnego oraz podstawy programowej kształcenia ogólnego dla szkoły podstawowej.</w:t>
            </w:r>
          </w:p>
        </w:tc>
      </w:tr>
      <w:tr w:rsidR="00764E82" w14:paraId="50A288CC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3A73B7A1" w14:textId="77777777" w:rsidR="00764E82" w:rsidRDefault="001E4EDF">
            <w:pPr>
              <w:rPr>
                <w:b/>
                <w:color w:val="1F4E78"/>
                <w:sz w:val="18"/>
                <w:lang w:val="pl-PL"/>
              </w:rPr>
            </w:pPr>
            <w:r>
              <w:rPr>
                <w:b/>
                <w:color w:val="1F4E78"/>
                <w:sz w:val="18"/>
                <w:lang w:val="pl-PL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0458758E" w14:textId="77777777" w:rsidR="00764E82" w:rsidRDefault="001E4EDF">
            <w:pPr>
              <w:rPr>
                <w:i/>
                <w:color w:val="5F6B75"/>
                <w:sz w:val="18"/>
                <w:lang w:val="pl-PL"/>
              </w:rPr>
            </w:pPr>
            <w:r>
              <w:rPr>
                <w:i/>
                <w:color w:val="5F6B75"/>
                <w:sz w:val="18"/>
                <w:lang w:val="pl-PL"/>
              </w:rPr>
              <w:t>25.08.2026 r.</w:t>
            </w:r>
          </w:p>
        </w:tc>
      </w:tr>
      <w:tr w:rsidR="00764E82" w14:paraId="0C236A63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0666ED81" w14:textId="77777777" w:rsidR="00764E82" w:rsidRDefault="001E4EDF">
            <w:pPr>
              <w:rPr>
                <w:b/>
                <w:color w:val="1F4E78"/>
                <w:sz w:val="18"/>
                <w:lang w:val="pl-PL"/>
              </w:rPr>
            </w:pPr>
            <w:r>
              <w:rPr>
                <w:b/>
                <w:color w:val="1F4E78"/>
                <w:sz w:val="18"/>
                <w:lang w:val="pl-PL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35B216DA" w14:textId="77777777" w:rsidR="00764E82" w:rsidRDefault="001E4EDF">
            <w:pPr>
              <w:rPr>
                <w:i/>
                <w:color w:val="5F6B75"/>
                <w:sz w:val="18"/>
                <w:lang w:val="pl-PL"/>
              </w:rPr>
            </w:pPr>
            <w:r>
              <w:rPr>
                <w:i/>
                <w:color w:val="5F6B75"/>
                <w:sz w:val="18"/>
                <w:lang w:val="pl-PL"/>
              </w:rPr>
              <w:t>Strona Internetowa https://www.sp59.poznan.pl/</w:t>
            </w:r>
          </w:p>
        </w:tc>
      </w:tr>
    </w:tbl>
    <w:p w14:paraId="45B50C7D" w14:textId="77777777" w:rsidR="00764E82" w:rsidRDefault="00764E82">
      <w:pPr>
        <w:spacing w:after="60"/>
        <w:rPr>
          <w:lang w:val="pl-PL"/>
        </w:rPr>
      </w:pPr>
    </w:p>
    <w:p w14:paraId="4DACFDE9" w14:textId="77777777" w:rsidR="00764E82" w:rsidRDefault="00764E82">
      <w:pPr>
        <w:spacing w:after="60"/>
        <w:rPr>
          <w:lang w:val="pl-PL"/>
        </w:rPr>
      </w:pPr>
    </w:p>
    <w:p w14:paraId="0095C012" w14:textId="77777777" w:rsidR="00764E82" w:rsidRDefault="00764E82">
      <w:pPr>
        <w:spacing w:after="60"/>
        <w:rPr>
          <w:lang w:val="pl-PL"/>
        </w:rPr>
      </w:pPr>
    </w:p>
    <w:p w14:paraId="0BF61FA6" w14:textId="77777777" w:rsidR="00764E82" w:rsidRDefault="00764E82">
      <w:pPr>
        <w:spacing w:after="60"/>
        <w:rPr>
          <w:lang w:val="pl-PL"/>
        </w:rPr>
      </w:pPr>
    </w:p>
    <w:p w14:paraId="7C28E41E" w14:textId="77777777" w:rsidR="00764E82" w:rsidRDefault="00764E82">
      <w:pPr>
        <w:spacing w:after="60"/>
        <w:rPr>
          <w:lang w:val="pl-PL"/>
        </w:rPr>
      </w:pPr>
    </w:p>
    <w:p w14:paraId="47C43CCF" w14:textId="77777777" w:rsidR="00764E82" w:rsidRDefault="00764E82">
      <w:pPr>
        <w:spacing w:after="60"/>
        <w:rPr>
          <w:lang w:val="pl-PL"/>
        </w:rPr>
      </w:pPr>
    </w:p>
    <w:tbl>
      <w:tblPr>
        <w:tblW w:w="14004" w:type="dxa"/>
        <w:jc w:val="center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14004"/>
      </w:tblGrid>
      <w:tr w:rsidR="00764E82" w14:paraId="7BE75FBF" w14:textId="77777777">
        <w:trPr>
          <w:jc w:val="center"/>
        </w:trPr>
        <w:tc>
          <w:tcPr>
            <w:tcW w:w="14004" w:type="dxa"/>
            <w:shd w:val="clear" w:color="auto" w:fill="1F4E78"/>
          </w:tcPr>
          <w:p w14:paraId="4E5DB4A1" w14:textId="77777777" w:rsidR="00764E82" w:rsidRDefault="001E4EDF">
            <w:r>
              <w:rPr>
                <w:rFonts w:cs="Aptos"/>
                <w:b/>
                <w:color w:val="FFFFFF"/>
                <w:sz w:val="25"/>
                <w:lang w:val="pl-PL"/>
              </w:rPr>
              <w:t xml:space="preserve"> </w:t>
            </w:r>
            <w:r>
              <w:rPr>
                <w:b/>
                <w:color w:val="FFFFFF"/>
                <w:sz w:val="25"/>
                <w:lang w:val="pl-PL"/>
              </w:rPr>
              <w:t>KLASY IV–VIII</w:t>
            </w:r>
            <w:r>
              <w:rPr>
                <w:color w:val="DCE8F1"/>
                <w:sz w:val="18"/>
                <w:lang w:val="pl-PL"/>
              </w:rPr>
              <w:t xml:space="preserve">  pozostaw tę część, jeśli dokument dotyczy przedmiotu ocenianego stopniami</w:t>
            </w:r>
          </w:p>
        </w:tc>
      </w:tr>
    </w:tbl>
    <w:p w14:paraId="76512BBA" w14:textId="77777777" w:rsidR="00764E82" w:rsidRDefault="00764E82">
      <w:pPr>
        <w:spacing w:after="0"/>
        <w:rPr>
          <w:lang w:val="pl-PL"/>
        </w:rPr>
      </w:pPr>
    </w:p>
    <w:p w14:paraId="23077CD4" w14:textId="77777777" w:rsidR="00764E82" w:rsidRDefault="001E4EDF">
      <w:pPr>
        <w:keepNext/>
        <w:spacing w:before="100" w:after="100"/>
        <w:rPr>
          <w:b/>
          <w:color w:val="1F4E78"/>
          <w:sz w:val="27"/>
          <w:lang w:val="pl-PL"/>
        </w:rPr>
      </w:pPr>
      <w:r>
        <w:rPr>
          <w:b/>
          <w:color w:val="1F4E78"/>
          <w:sz w:val="27"/>
          <w:lang w:val="pl-PL"/>
        </w:rPr>
        <w:t>Jak czytać poziomy 2–6?</w:t>
      </w:r>
    </w:p>
    <w:tbl>
      <w:tblPr>
        <w:tblW w:w="15165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033"/>
        <w:gridCol w:w="3033"/>
        <w:gridCol w:w="3033"/>
        <w:gridCol w:w="3033"/>
        <w:gridCol w:w="3033"/>
      </w:tblGrid>
      <w:tr w:rsidR="00764E82" w14:paraId="44F7E282" w14:textId="77777777">
        <w:trPr>
          <w:jc w:val="center"/>
        </w:trPr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1F3"/>
          </w:tcPr>
          <w:p w14:paraId="714C8709" w14:textId="77777777" w:rsidR="00764E82" w:rsidRDefault="001E4EDF">
            <w:pPr>
              <w:jc w:val="center"/>
              <w:rPr>
                <w:b/>
                <w:color w:val="1F4E78"/>
                <w:sz w:val="18"/>
                <w:lang w:val="pl-PL"/>
              </w:rPr>
            </w:pPr>
            <w:r>
              <w:rPr>
                <w:b/>
                <w:color w:val="1F4E78"/>
                <w:sz w:val="18"/>
                <w:lang w:val="pl-PL"/>
              </w:rPr>
              <w:t>2 • dopuszczająca</w:t>
            </w:r>
          </w:p>
          <w:p w14:paraId="1FE5630D" w14:textId="77777777" w:rsidR="00764E82" w:rsidRDefault="001E4EDF">
            <w:pPr>
              <w:jc w:val="center"/>
              <w:rPr>
                <w:color w:val="5F6B75"/>
                <w:sz w:val="17"/>
                <w:lang w:val="pl-PL"/>
              </w:rPr>
            </w:pPr>
            <w:r>
              <w:rPr>
                <w:color w:val="5F6B75"/>
                <w:sz w:val="17"/>
                <w:lang w:val="pl-PL"/>
              </w:rPr>
              <w:t>odtwarza / rozpoznaje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F0E3"/>
          </w:tcPr>
          <w:p w14:paraId="3E15AA16" w14:textId="77777777" w:rsidR="00764E82" w:rsidRDefault="001E4EDF">
            <w:pPr>
              <w:jc w:val="center"/>
              <w:rPr>
                <w:b/>
                <w:color w:val="1F4E78"/>
                <w:sz w:val="18"/>
                <w:lang w:val="pl-PL"/>
              </w:rPr>
            </w:pPr>
            <w:r>
              <w:rPr>
                <w:b/>
                <w:color w:val="1F4E78"/>
                <w:sz w:val="18"/>
                <w:lang w:val="pl-PL"/>
              </w:rPr>
              <w:t>3 • dostateczna</w:t>
            </w:r>
          </w:p>
          <w:p w14:paraId="602AE8F4" w14:textId="77777777" w:rsidR="00764E82" w:rsidRDefault="001E4EDF">
            <w:pPr>
              <w:jc w:val="center"/>
              <w:rPr>
                <w:color w:val="5F6B75"/>
                <w:sz w:val="17"/>
                <w:lang w:val="pl-PL"/>
              </w:rPr>
            </w:pPr>
            <w:r>
              <w:rPr>
                <w:color w:val="5F6B75"/>
                <w:sz w:val="17"/>
                <w:lang w:val="pl-PL"/>
              </w:rPr>
              <w:t>rozumie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1CC"/>
          </w:tcPr>
          <w:p w14:paraId="6937C61C" w14:textId="77777777" w:rsidR="00764E82" w:rsidRDefault="001E4EDF">
            <w:pPr>
              <w:jc w:val="center"/>
              <w:rPr>
                <w:b/>
                <w:color w:val="1F4E78"/>
                <w:sz w:val="18"/>
                <w:lang w:val="pl-PL"/>
              </w:rPr>
            </w:pPr>
            <w:r>
              <w:rPr>
                <w:b/>
                <w:color w:val="1F4E78"/>
                <w:sz w:val="18"/>
                <w:lang w:val="pl-PL"/>
              </w:rPr>
              <w:t>4 • dobra</w:t>
            </w:r>
          </w:p>
          <w:p w14:paraId="1BB80879" w14:textId="77777777" w:rsidR="00764E82" w:rsidRDefault="001E4EDF">
            <w:pPr>
              <w:jc w:val="center"/>
              <w:rPr>
                <w:color w:val="5F6B75"/>
                <w:sz w:val="17"/>
                <w:lang w:val="pl-PL"/>
              </w:rPr>
            </w:pPr>
            <w:r>
              <w:rPr>
                <w:color w:val="5F6B75"/>
                <w:sz w:val="17"/>
                <w:lang w:val="pl-PL"/>
              </w:rPr>
              <w:t>stosuje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0F2"/>
          </w:tcPr>
          <w:p w14:paraId="7E29DDCC" w14:textId="77777777" w:rsidR="00764E82" w:rsidRDefault="001E4EDF">
            <w:pPr>
              <w:jc w:val="center"/>
              <w:rPr>
                <w:b/>
                <w:color w:val="1F4E78"/>
                <w:sz w:val="18"/>
                <w:lang w:val="pl-PL"/>
              </w:rPr>
            </w:pPr>
            <w:r>
              <w:rPr>
                <w:b/>
                <w:color w:val="1F4E78"/>
                <w:sz w:val="18"/>
                <w:lang w:val="pl-PL"/>
              </w:rPr>
              <w:t>5 • bardzo dobra</w:t>
            </w:r>
          </w:p>
          <w:p w14:paraId="272EE521" w14:textId="77777777" w:rsidR="00764E82" w:rsidRDefault="001E4EDF">
            <w:pPr>
              <w:jc w:val="center"/>
              <w:rPr>
                <w:color w:val="5F6B75"/>
                <w:sz w:val="17"/>
                <w:lang w:val="pl-PL"/>
              </w:rPr>
            </w:pPr>
            <w:r>
              <w:rPr>
                <w:color w:val="5F6B75"/>
                <w:sz w:val="17"/>
                <w:lang w:val="pl-PL"/>
              </w:rPr>
              <w:t>analizuje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0EAF5"/>
          </w:tcPr>
          <w:p w14:paraId="4D18ECF1" w14:textId="77777777" w:rsidR="00764E82" w:rsidRDefault="001E4EDF">
            <w:pPr>
              <w:jc w:val="center"/>
              <w:rPr>
                <w:b/>
                <w:color w:val="1F4E78"/>
                <w:sz w:val="18"/>
                <w:lang w:val="pl-PL"/>
              </w:rPr>
            </w:pPr>
            <w:r>
              <w:rPr>
                <w:b/>
                <w:color w:val="1F4E78"/>
                <w:sz w:val="18"/>
                <w:lang w:val="pl-PL"/>
              </w:rPr>
              <w:t>6 • celująca</w:t>
            </w:r>
          </w:p>
          <w:p w14:paraId="5046BE1B" w14:textId="77777777" w:rsidR="00764E82" w:rsidRDefault="001E4EDF">
            <w:pPr>
              <w:jc w:val="center"/>
              <w:rPr>
                <w:color w:val="5F6B75"/>
                <w:sz w:val="17"/>
                <w:lang w:val="pl-PL"/>
              </w:rPr>
            </w:pPr>
            <w:r>
              <w:rPr>
                <w:color w:val="5F6B75"/>
                <w:sz w:val="17"/>
                <w:lang w:val="pl-PL"/>
              </w:rPr>
              <w:t>ocenia / tworzy</w:t>
            </w:r>
          </w:p>
        </w:tc>
      </w:tr>
      <w:tr w:rsidR="00764E82" w14:paraId="6826A8D0" w14:textId="77777777">
        <w:trPr>
          <w:jc w:val="center"/>
        </w:trPr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74B960C0" w14:textId="77777777" w:rsidR="00764E82" w:rsidRDefault="001E4EDF">
            <w:pPr>
              <w:jc w:val="center"/>
            </w:pPr>
            <w:r>
              <w:rPr>
                <w:sz w:val="16"/>
                <w:lang w:val="pl-PL"/>
              </w:rPr>
              <w:t>wymienia • definiuje • rozpoznaje • wskazuje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06C1A98D" w14:textId="77777777" w:rsidR="00764E82" w:rsidRDefault="001E4EDF">
            <w:pPr>
              <w:jc w:val="center"/>
              <w:rPr>
                <w:sz w:val="16"/>
                <w:lang w:val="pl-PL"/>
              </w:rPr>
            </w:pPr>
            <w:r>
              <w:rPr>
                <w:sz w:val="16"/>
                <w:lang w:val="pl-PL"/>
              </w:rPr>
              <w:t>wyjaśnia • opisuje • porównuje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4E924D2E" w14:textId="77777777" w:rsidR="00764E82" w:rsidRDefault="001E4EDF">
            <w:pPr>
              <w:jc w:val="center"/>
              <w:rPr>
                <w:sz w:val="16"/>
                <w:lang w:val="pl-PL"/>
              </w:rPr>
            </w:pPr>
            <w:r>
              <w:rPr>
                <w:sz w:val="16"/>
                <w:lang w:val="pl-PL"/>
              </w:rPr>
              <w:t>stosuje • oblicza • rozwiązuje • wykorzystuje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5DA7B813" w14:textId="77777777" w:rsidR="00764E82" w:rsidRDefault="001E4EDF">
            <w:pPr>
              <w:jc w:val="center"/>
              <w:rPr>
                <w:sz w:val="16"/>
                <w:lang w:val="pl-PL"/>
              </w:rPr>
            </w:pPr>
            <w:r>
              <w:rPr>
                <w:sz w:val="16"/>
                <w:lang w:val="pl-PL"/>
              </w:rPr>
              <w:t>analizuje • uzasadnia • interpretuje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064D8CFE" w14:textId="77777777" w:rsidR="00764E82" w:rsidRDefault="001E4EDF">
            <w:pPr>
              <w:jc w:val="center"/>
              <w:rPr>
                <w:sz w:val="16"/>
                <w:lang w:val="pl-PL"/>
              </w:rPr>
            </w:pPr>
            <w:r>
              <w:rPr>
                <w:sz w:val="16"/>
                <w:lang w:val="pl-PL"/>
              </w:rPr>
              <w:t>ocenia • tworzy • projektuje</w:t>
            </w:r>
          </w:p>
        </w:tc>
      </w:tr>
    </w:tbl>
    <w:p w14:paraId="2E272AC6" w14:textId="77777777" w:rsidR="00764E82" w:rsidRDefault="00764E82">
      <w:pPr>
        <w:suppressAutoHyphens w:val="0"/>
        <w:spacing w:after="200" w:line="276" w:lineRule="auto"/>
        <w:rPr>
          <w:rFonts w:ascii="Arial" w:eastAsia="MS Mincho;ＭＳ 明朝" w:hAnsi="Arial" w:cs="Arial"/>
          <w:color w:val="000000"/>
          <w:sz w:val="17"/>
        </w:rPr>
      </w:pPr>
    </w:p>
    <w:p w14:paraId="2FA0C765" w14:textId="77777777" w:rsidR="00764E82" w:rsidRDefault="001E4EDF">
      <w:pPr>
        <w:suppressAutoHyphens w:val="0"/>
        <w:spacing w:after="200" w:line="276" w:lineRule="auto"/>
      </w:pPr>
      <w:r>
        <w:rPr>
          <w:rFonts w:eastAsia="MS Mincho;ＭＳ 明朝"/>
          <w:b/>
          <w:bCs/>
          <w:color w:val="000000"/>
          <w:sz w:val="24"/>
          <w:szCs w:val="24"/>
        </w:rPr>
        <w:t>Uwaga:</w:t>
      </w:r>
      <w:r>
        <w:rPr>
          <w:rFonts w:eastAsia="MS Mincho;ＭＳ 明朝"/>
          <w:color w:val="000000"/>
          <w:sz w:val="24"/>
          <w:szCs w:val="24"/>
        </w:rPr>
        <w:t xml:space="preserve"> moduł „zdrowie seksualne” został pominięty w tabeli oceniania, ponieważ komponent ten nie jest obowiązkowy i nie podlega ocenianiu szkolnemu.</w:t>
      </w:r>
    </w:p>
    <w:p w14:paraId="460E42E3" w14:textId="77777777" w:rsidR="00764E82" w:rsidRDefault="001E4EDF">
      <w:pPr>
        <w:keepNext/>
        <w:spacing w:before="100" w:after="100"/>
      </w:pPr>
      <w:r>
        <w:rPr>
          <w:b/>
          <w:color w:val="1F4E78"/>
          <w:sz w:val="27"/>
          <w:lang w:val="pl-PL"/>
        </w:rPr>
        <w:t>Szczegółowe wymagania edukacyjne – Uczeń:</w:t>
      </w:r>
    </w:p>
    <w:tbl>
      <w:tblPr>
        <w:tblW w:w="15222" w:type="dxa"/>
        <w:jc w:val="center"/>
        <w:tblLayout w:type="fixed"/>
        <w:tblCellMar>
          <w:top w:w="95" w:type="dxa"/>
          <w:left w:w="80" w:type="dxa"/>
          <w:bottom w:w="95" w:type="dxa"/>
          <w:right w:w="80" w:type="dxa"/>
        </w:tblCellMar>
        <w:tblLook w:val="04A0" w:firstRow="1" w:lastRow="0" w:firstColumn="1" w:lastColumn="0" w:noHBand="0" w:noVBand="1"/>
      </w:tblPr>
      <w:tblGrid>
        <w:gridCol w:w="1757"/>
        <w:gridCol w:w="2693"/>
        <w:gridCol w:w="2693"/>
        <w:gridCol w:w="2693"/>
        <w:gridCol w:w="2693"/>
        <w:gridCol w:w="2693"/>
      </w:tblGrid>
      <w:tr w:rsidR="00764E82" w14:paraId="5F632254" w14:textId="77777777">
        <w:trPr>
          <w:tblHeader/>
          <w:jc w:val="center"/>
        </w:trPr>
        <w:tc>
          <w:tcPr>
            <w:tcW w:w="17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2C28C619" w14:textId="77777777" w:rsidR="00764E82" w:rsidRDefault="001E4EDF">
            <w:pPr>
              <w:jc w:val="center"/>
              <w:rPr>
                <w:b/>
                <w:color w:val="FFFFFF"/>
                <w:sz w:val="16"/>
                <w:lang w:val="pl-PL"/>
              </w:rPr>
            </w:pPr>
            <w:r>
              <w:rPr>
                <w:b/>
                <w:color w:val="FFFFFF"/>
                <w:sz w:val="16"/>
                <w:lang w:val="pl-PL"/>
              </w:rPr>
              <w:t>Dział / obszar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3344796F" w14:textId="77777777" w:rsidR="00764E82" w:rsidRDefault="001E4EDF">
            <w:pPr>
              <w:jc w:val="center"/>
              <w:rPr>
                <w:b/>
                <w:color w:val="FFFFFF"/>
                <w:sz w:val="16"/>
                <w:lang w:val="pl-PL"/>
              </w:rPr>
            </w:pPr>
            <w:r>
              <w:rPr>
                <w:b/>
                <w:color w:val="FFFFFF"/>
                <w:sz w:val="16"/>
                <w:lang w:val="pl-PL"/>
              </w:rPr>
              <w:t>2 – dopuszczająca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64F374AF" w14:textId="77777777" w:rsidR="00764E82" w:rsidRDefault="001E4EDF">
            <w:pPr>
              <w:jc w:val="center"/>
              <w:rPr>
                <w:b/>
                <w:color w:val="FFFFFF"/>
                <w:sz w:val="16"/>
                <w:lang w:val="pl-PL"/>
              </w:rPr>
            </w:pPr>
            <w:r>
              <w:rPr>
                <w:b/>
                <w:color w:val="FFFFFF"/>
                <w:sz w:val="16"/>
                <w:lang w:val="pl-PL"/>
              </w:rPr>
              <w:t>3 – dostateczna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6AD043D9" w14:textId="77777777" w:rsidR="00764E82" w:rsidRDefault="001E4EDF">
            <w:pPr>
              <w:jc w:val="center"/>
              <w:rPr>
                <w:b/>
                <w:color w:val="FFFFFF"/>
                <w:sz w:val="16"/>
                <w:lang w:val="pl-PL"/>
              </w:rPr>
            </w:pPr>
            <w:r>
              <w:rPr>
                <w:b/>
                <w:color w:val="FFFFFF"/>
                <w:sz w:val="16"/>
                <w:lang w:val="pl-PL"/>
              </w:rPr>
              <w:t>4 – dobra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52C7D9B6" w14:textId="77777777" w:rsidR="00764E82" w:rsidRDefault="001E4EDF">
            <w:pPr>
              <w:jc w:val="center"/>
              <w:rPr>
                <w:b/>
                <w:color w:val="FFFFFF"/>
                <w:sz w:val="16"/>
                <w:lang w:val="pl-PL"/>
              </w:rPr>
            </w:pPr>
            <w:r>
              <w:rPr>
                <w:b/>
                <w:color w:val="FFFFFF"/>
                <w:sz w:val="16"/>
                <w:lang w:val="pl-PL"/>
              </w:rPr>
              <w:t>5 – bardzo dobra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57F7FAF3" w14:textId="77777777" w:rsidR="00764E82" w:rsidRDefault="001E4EDF">
            <w:pPr>
              <w:jc w:val="center"/>
              <w:rPr>
                <w:b/>
                <w:color w:val="FFFFFF"/>
                <w:sz w:val="16"/>
                <w:lang w:val="pl-PL"/>
              </w:rPr>
            </w:pPr>
            <w:r>
              <w:rPr>
                <w:b/>
                <w:color w:val="FFFFFF"/>
                <w:sz w:val="16"/>
                <w:lang w:val="pl-PL"/>
              </w:rPr>
              <w:t>6 – celująca</w:t>
            </w:r>
          </w:p>
        </w:tc>
      </w:tr>
      <w:tr w:rsidR="00764E82" w14:paraId="27214550" w14:textId="77777777">
        <w:trPr>
          <w:trHeight w:val="819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  <w:vAlign w:val="center"/>
          </w:tcPr>
          <w:p w14:paraId="7928D97D" w14:textId="77777777" w:rsidR="00764E82" w:rsidRDefault="001E4EDF">
            <w:pPr>
              <w:rPr>
                <w:szCs w:val="20"/>
              </w:rPr>
            </w:pPr>
            <w:r>
              <w:rPr>
                <w:b/>
                <w:szCs w:val="20"/>
              </w:rPr>
              <w:t>Nasze zdrowie społeczne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2F2C7C9C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wymienia podstawowe rodzaje relacji: zakochanie, popęd seksualny, miłość młodzieńcza, miłość dojrzała, relacje rodzinne.</w:t>
            </w:r>
          </w:p>
          <w:p w14:paraId="58B52B3C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rozpoznaje pojęcie odpowiedzialności w relacjach.</w:t>
            </w:r>
          </w:p>
          <w:p w14:paraId="39489056" w14:textId="77777777" w:rsidR="00764E82" w:rsidRDefault="001E4EDF">
            <w:pPr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wskazuje przykłady konfliktów i problemów w relacjach.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2FD61087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opisuje oznaki zakochania.</w:t>
            </w:r>
          </w:p>
          <w:p w14:paraId="4244EA5A" w14:textId="77777777" w:rsidR="00764E82" w:rsidRDefault="001E4EDF">
            <w:pPr>
              <w:spacing w:after="20"/>
              <w:ind w:left="85" w:hanging="85"/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wyjaśnia różnice między zakochaniem, popędem seksualnym, miłością młodzieńczą i miłością dojrzałą.</w:t>
            </w:r>
          </w:p>
          <w:p w14:paraId="68DF5A55" w14:textId="77777777" w:rsidR="00764E82" w:rsidRDefault="001E4EDF">
            <w:pPr>
              <w:spacing w:after="20"/>
              <w:ind w:left="85" w:hanging="85"/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omawia znaczenie odpowiedzialności w budowaniu relacji.</w:t>
            </w:r>
          </w:p>
          <w:p w14:paraId="5B994E56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opisuje swoją rolę w budowaniu pozytywnej atmosfery w rodzinie.</w:t>
            </w:r>
          </w:p>
          <w:p w14:paraId="235F22D1" w14:textId="77777777" w:rsidR="00764E82" w:rsidRDefault="001E4EDF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wyjaśnia, czym jest manipulacja.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3C78325" w14:textId="77777777" w:rsidR="00764E82" w:rsidRDefault="001E4EDF">
            <w:pPr>
              <w:spacing w:after="20"/>
              <w:ind w:left="85" w:hanging="85"/>
            </w:pPr>
            <w:r>
              <w:rPr>
                <w:szCs w:val="20"/>
              </w:rPr>
              <w:lastRenderedPageBreak/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stosuje sposoby rozwiązywania problemów i konfliktów.</w:t>
            </w:r>
          </w:p>
          <w:p w14:paraId="67FEE666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rozpoznaje manipulację w najbliższym otoczeniu.</w:t>
            </w:r>
          </w:p>
          <w:p w14:paraId="38D9CD98" w14:textId="77777777" w:rsidR="00764E82" w:rsidRDefault="001E4EDF">
            <w:pPr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reaguje asertywnie na próby manipulacji.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6B10156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analizuje jakość relacji oraz znaczenie odpowiedzialności, szacunku i wzajemnych granic.</w:t>
            </w:r>
          </w:p>
          <w:p w14:paraId="1F8CEDCD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ocenia zachowania wspierające i niszczące relacje.</w:t>
            </w:r>
          </w:p>
          <w:p w14:paraId="7C8B95BB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uzasadnia znaczenie mediacji i alternatywnych metod rozwiązywania sporów.</w:t>
            </w:r>
          </w:p>
          <w:p w14:paraId="11FC12FC" w14:textId="77777777" w:rsidR="00764E82" w:rsidRDefault="001E4EDF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analizuje wpływ własnych zachowań na atmosferę w rodzinie i relacjach.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0E70FE54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lastRenderedPageBreak/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tworzy zasady budowania dojrzałych, odpowiedzialnych i bezpiecznych relacji.</w:t>
            </w:r>
          </w:p>
          <w:p w14:paraId="1FD99982" w14:textId="77777777" w:rsidR="00764E82" w:rsidRDefault="001E4EDF">
            <w:pPr>
              <w:spacing w:after="20"/>
              <w:ind w:left="85" w:hanging="85"/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projektuje sposób rozwiązania konfliktu z wykorzystaniem mediacji.</w:t>
            </w:r>
          </w:p>
          <w:p w14:paraId="79E2E485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opracowuje poradnik rozpoznawania manipulacji i asertywnego reagowania.</w:t>
            </w:r>
          </w:p>
          <w:p w14:paraId="1065A96C" w14:textId="77777777" w:rsidR="00764E82" w:rsidRDefault="001E4EDF">
            <w:pPr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 xml:space="preserve">proponuje działania wzmacniające pozytywną </w:t>
            </w:r>
            <w:r>
              <w:rPr>
                <w:szCs w:val="20"/>
              </w:rPr>
              <w:lastRenderedPageBreak/>
              <w:t>atmosferę w rodzinie lub grupie rówieśniczej.</w:t>
            </w:r>
          </w:p>
        </w:tc>
      </w:tr>
      <w:tr w:rsidR="00764E82" w14:paraId="79D2D2BD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  <w:vAlign w:val="center"/>
          </w:tcPr>
          <w:p w14:paraId="426CE6ED" w14:textId="77777777" w:rsidR="00764E82" w:rsidRDefault="001E4EDF">
            <w:pPr>
              <w:rPr>
                <w:i/>
                <w:color w:val="A0AAB2"/>
                <w:szCs w:val="20"/>
                <w:lang w:val="pl-PL"/>
              </w:rPr>
            </w:pPr>
            <w:r>
              <w:rPr>
                <w:b/>
                <w:szCs w:val="20"/>
              </w:rPr>
              <w:lastRenderedPageBreak/>
              <w:t>Nasze dojrzewanie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66E3FC45" w14:textId="77777777" w:rsidR="00764E82" w:rsidRDefault="001E4EDF">
            <w:pPr>
              <w:spacing w:after="20"/>
              <w:ind w:left="85" w:hanging="85"/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wymienia podstawowe cele rozwojowe i wyzwania okresu dojrzewania.</w:t>
            </w:r>
          </w:p>
          <w:p w14:paraId="5351CBAA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rozpoznaje pojęcia: rozwój płciowy, układ moczowo-płciowy, menstruacja, menopauza, andropauza, starość, ubóstwo menstruacyjne.</w:t>
            </w:r>
          </w:p>
          <w:p w14:paraId="03FF287B" w14:textId="77777777" w:rsidR="00764E82" w:rsidRDefault="001E4EDF">
            <w:pPr>
              <w:rPr>
                <w:i/>
                <w:color w:val="A0AAB2"/>
                <w:szCs w:val="20"/>
                <w:lang w:val="pl-PL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wymienia przykłady produktów menstruacyjnych.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6EC0A37D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omawia cele rozwojowe i wyzwania etapu dojrzewania oraz kolejnych etapów życia człowieka.</w:t>
            </w:r>
          </w:p>
          <w:p w14:paraId="6F4CE413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wyjaśnia, jakie czynniki wpływają na prawidłowy rozwój płciowy.</w:t>
            </w:r>
          </w:p>
          <w:p w14:paraId="73D69BDE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opisuje znaczenie monitorowania stanu swojego ciała.</w:t>
            </w:r>
          </w:p>
          <w:p w14:paraId="0B26944E" w14:textId="77777777" w:rsidR="00764E82" w:rsidRDefault="001E4EDF">
            <w:pPr>
              <w:rPr>
                <w:i/>
                <w:color w:val="A0AAB2"/>
                <w:szCs w:val="20"/>
                <w:lang w:val="pl-PL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charakteryzuje dostępne produkty menstruacyjne. -wyjaśnia zjawisko ubóstwa menstruacyjnego.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6214232A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monitoruje stan swojego ciała i identyfikuje możliwe nieprawidłowości lub urazy układu moczowo-płciowego.</w:t>
            </w:r>
          </w:p>
          <w:p w14:paraId="3995F041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wskazuje, kiedy należy zwrócić się o pomoc do osoby dorosłej lub specjalisty.</w:t>
            </w:r>
          </w:p>
          <w:p w14:paraId="482EB9F7" w14:textId="77777777" w:rsidR="00764E82" w:rsidRDefault="001E4EDF">
            <w:pPr>
              <w:spacing w:after="20"/>
              <w:ind w:left="85" w:hanging="85"/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dobiera podstawowe sposoby dbania o higienę i komfort w okresie dojrzewania.</w:t>
            </w:r>
          </w:p>
          <w:p w14:paraId="43A11617" w14:textId="77777777" w:rsidR="00764E82" w:rsidRDefault="001E4EDF">
            <w:pPr>
              <w:rPr>
                <w:i/>
                <w:color w:val="A0AAB2"/>
                <w:szCs w:val="20"/>
                <w:lang w:val="pl-PL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wskazuje sposoby przeciwdziałania ubóstwu menstruacyjnemu.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5D956A3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analizuje czynniki wpływające na rozwój płciowy oraz zdrowie w okresie dojrzewania.</w:t>
            </w:r>
          </w:p>
          <w:p w14:paraId="4DDD5C5E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ocenia znaczenie obserwowania własnego ciała i reagowania na niepokojące objawy.</w:t>
            </w:r>
          </w:p>
          <w:p w14:paraId="402D61FB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uzasadnia potrzebę rzetelnej wiedzy o dojrzewaniu, menstruacji i zdrowiu układu moczowo-płciowego.</w:t>
            </w:r>
          </w:p>
          <w:p w14:paraId="2814C03D" w14:textId="77777777" w:rsidR="00764E82" w:rsidRDefault="001E4EDF">
            <w:pPr>
              <w:rPr>
                <w:i/>
                <w:color w:val="A0AAB2"/>
                <w:szCs w:val="20"/>
                <w:lang w:val="pl-PL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analizuje społeczne konsekwencje ubóstwa menstruacyjnego.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3F1FA6C6" w14:textId="77777777" w:rsidR="00764E82" w:rsidRDefault="001E4EDF">
            <w:pPr>
              <w:spacing w:after="20"/>
              <w:ind w:left="85" w:hanging="85"/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tworzy poradnik dotyczący dojrzewania, rozwoju płciowego i monitorowania zdrowia.</w:t>
            </w:r>
          </w:p>
          <w:p w14:paraId="3C4DBFC3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projektuje działania przeciwdziałające ubóstwu menstruacyjnemu w środowisku szkolnym.</w:t>
            </w:r>
          </w:p>
          <w:p w14:paraId="0DC280C6" w14:textId="77777777" w:rsidR="00764E82" w:rsidRDefault="001E4EDF">
            <w:pPr>
              <w:rPr>
                <w:i/>
                <w:color w:val="A0AAB2"/>
                <w:szCs w:val="20"/>
                <w:lang w:val="pl-PL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opracowuje zasady dbania o zdrowie, godność, prywatność i bezpieczeństwo w okresie dojrzewania oraz na kolejnych etapach życia.</w:t>
            </w:r>
          </w:p>
        </w:tc>
      </w:tr>
      <w:tr w:rsidR="00764E82" w14:paraId="0998E20C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  <w:vAlign w:val="center"/>
          </w:tcPr>
          <w:p w14:paraId="27EBA050" w14:textId="77777777" w:rsidR="00764E82" w:rsidRDefault="001E4EDF">
            <w:pPr>
              <w:rPr>
                <w:rFonts w:eastAsia="MS Mincho;ＭＳ 明朝"/>
                <w:b/>
                <w:color w:val="000000"/>
                <w:szCs w:val="20"/>
              </w:rPr>
            </w:pPr>
            <w:r>
              <w:rPr>
                <w:b/>
                <w:szCs w:val="20"/>
              </w:rPr>
              <w:t>Nasze zdrowie środowiskowe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571D616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wymienia przykłady zagrożeń środowiskowych, takich jak zmiana klimatu, degradacja środowiska, utrata bioróżnorodności, szybka moda i ekstremalne zjawiska pogodowe.</w:t>
            </w:r>
          </w:p>
          <w:p w14:paraId="4B2EC63C" w14:textId="77777777" w:rsidR="00764E82" w:rsidRDefault="001E4EDF">
            <w:pPr>
              <w:spacing w:after="20"/>
              <w:ind w:left="85" w:hanging="85"/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 xml:space="preserve">rozpoznaje przykłady chorób i problemów zdrowotnych mogących </w:t>
            </w:r>
            <w:r>
              <w:rPr>
                <w:szCs w:val="20"/>
              </w:rPr>
              <w:lastRenderedPageBreak/>
              <w:t>wynikać z degradacji środowiska.</w:t>
            </w:r>
          </w:p>
          <w:p w14:paraId="5C77C722" w14:textId="77777777" w:rsidR="00764E82" w:rsidRDefault="001E4EDF">
            <w:pPr>
              <w:suppressAutoHyphens w:val="0"/>
              <w:spacing w:after="20" w:line="276" w:lineRule="auto"/>
              <w:ind w:left="85" w:hanging="85"/>
              <w:rPr>
                <w:rFonts w:eastAsia="MS Mincho;ＭＳ 明朝"/>
                <w:color w:val="000000"/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wskazuje przykłady działań na rzecz przyrody.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7A1F4D4C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lastRenderedPageBreak/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opisuje, jak zmiana klimatu i degradacja środowiska wpływają na zdrowie indywidualne i publiczne.</w:t>
            </w:r>
          </w:p>
          <w:p w14:paraId="1DE556AC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wyjaśnia, jak utrata różnorodności biologicznej wpływa na zdrowie człowieka.</w:t>
            </w:r>
          </w:p>
          <w:p w14:paraId="023AB3EB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 xml:space="preserve">opisuje negatywne następstwa ekstremalnych </w:t>
            </w:r>
            <w:r>
              <w:rPr>
                <w:szCs w:val="20"/>
              </w:rPr>
              <w:lastRenderedPageBreak/>
              <w:t>zjawisk pogodowych dla zdrowia.</w:t>
            </w:r>
          </w:p>
          <w:p w14:paraId="2114F106" w14:textId="77777777" w:rsidR="00764E82" w:rsidRDefault="001E4EDF">
            <w:pPr>
              <w:suppressAutoHyphens w:val="0"/>
              <w:spacing w:after="20" w:line="276" w:lineRule="auto"/>
              <w:ind w:left="85" w:hanging="85"/>
              <w:rPr>
                <w:rFonts w:eastAsia="MS Mincho;ＭＳ 明朝"/>
                <w:color w:val="000000"/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omawia wpływ szybkiej mody na środowisko.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3B6F44EE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lastRenderedPageBreak/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uczestniczy w działaniach promujących zdrowie środowiskowe.</w:t>
            </w:r>
          </w:p>
          <w:p w14:paraId="36B42F76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realizuje proste działania na rzecz poprawy stanu środowiska.</w:t>
            </w:r>
          </w:p>
          <w:p w14:paraId="398D82E8" w14:textId="77777777" w:rsidR="00764E82" w:rsidRDefault="001E4EDF">
            <w:pPr>
              <w:spacing w:after="20"/>
              <w:ind w:left="85" w:hanging="85"/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zbiera informacje potrzebne do audytu środowiskowego szkoły.</w:t>
            </w:r>
          </w:p>
          <w:p w14:paraId="04E3CB3D" w14:textId="77777777" w:rsidR="00764E82" w:rsidRDefault="001E4EDF">
            <w:pPr>
              <w:suppressAutoHyphens w:val="0"/>
              <w:spacing w:after="20" w:line="276" w:lineRule="auto"/>
              <w:ind w:left="85" w:hanging="85"/>
              <w:rPr>
                <w:rFonts w:eastAsia="MS Mincho;ＭＳ 明朝"/>
                <w:color w:val="000000"/>
                <w:szCs w:val="20"/>
              </w:rPr>
            </w:pPr>
            <w:r>
              <w:rPr>
                <w:szCs w:val="20"/>
              </w:rPr>
              <w:lastRenderedPageBreak/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wskazuje mocne i słabe strony działań szkoły na rzecz środowiska.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31F8852E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lastRenderedPageBreak/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analizuje wpływ zmiany klimatu, degradacji środowiska, utraty bioróżnorodności i szybkiej mody na zdrowie ludzi.</w:t>
            </w:r>
          </w:p>
          <w:p w14:paraId="2619FB06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ocenia działania szkoły lub społeczności lokalnej na rzecz środowiska.</w:t>
            </w:r>
          </w:p>
          <w:p w14:paraId="4DBFC954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wykonuje EKOanalizę SWOT.</w:t>
            </w:r>
          </w:p>
          <w:p w14:paraId="519B858A" w14:textId="77777777" w:rsidR="00764E82" w:rsidRDefault="001E4EDF">
            <w:pPr>
              <w:suppressAutoHyphens w:val="0"/>
              <w:spacing w:after="20" w:line="276" w:lineRule="auto"/>
              <w:ind w:left="85" w:hanging="85"/>
              <w:rPr>
                <w:rFonts w:eastAsia="MS Mincho;ＭＳ 明朝"/>
                <w:color w:val="000000"/>
                <w:szCs w:val="20"/>
              </w:rPr>
            </w:pPr>
            <w:r>
              <w:rPr>
                <w:szCs w:val="20"/>
              </w:rPr>
              <w:lastRenderedPageBreak/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uzasadnia potrzebę podejmowania działań klimatycznych i prośrodowiskowych.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565ED9CC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lastRenderedPageBreak/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projektuje działania na rzecz poprawy stanu środowiska w szkole lub lokalnej społeczności.</w:t>
            </w:r>
          </w:p>
          <w:p w14:paraId="0FD638B6" w14:textId="77777777" w:rsidR="00764E82" w:rsidRDefault="001E4EDF">
            <w:pPr>
              <w:spacing w:after="20"/>
              <w:ind w:left="85" w:hanging="85"/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tworzy plan kampanii, audytu lub akcji proklimatycznej.</w:t>
            </w:r>
          </w:p>
          <w:p w14:paraId="284A4A2D" w14:textId="77777777" w:rsidR="00764E82" w:rsidRDefault="001E4EDF">
            <w:pPr>
              <w:spacing w:after="20"/>
              <w:ind w:left="85" w:hanging="85"/>
              <w:rPr>
                <w:szCs w:val="20"/>
              </w:rPr>
            </w:pPr>
            <w:r>
              <w:rPr>
                <w:szCs w:val="20"/>
              </w:rPr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opracowuje rekomendacje po EKOanalizie SWOT swojej szkoły.</w:t>
            </w:r>
          </w:p>
          <w:p w14:paraId="450C72B2" w14:textId="77777777" w:rsidR="00764E82" w:rsidRDefault="001E4EDF">
            <w:pPr>
              <w:suppressAutoHyphens w:val="0"/>
              <w:spacing w:after="20" w:line="276" w:lineRule="auto"/>
              <w:ind w:left="85" w:hanging="85"/>
              <w:rPr>
                <w:rFonts w:eastAsia="MS Mincho;ＭＳ 明朝"/>
                <w:color w:val="000000"/>
                <w:szCs w:val="20"/>
              </w:rPr>
            </w:pPr>
            <w:r>
              <w:rPr>
                <w:szCs w:val="20"/>
              </w:rPr>
              <w:lastRenderedPageBreak/>
              <w:t>•</w:t>
            </w:r>
            <w:r>
              <w:rPr>
                <w:rFonts w:cs="Aptos"/>
                <w:szCs w:val="20"/>
              </w:rPr>
              <w:t xml:space="preserve"> </w:t>
            </w:r>
            <w:r>
              <w:rPr>
                <w:szCs w:val="20"/>
              </w:rPr>
              <w:t>inicjuje działania promujące zdrowie środowiskowe i odpowiedzialność za przyrodę.</w:t>
            </w:r>
          </w:p>
        </w:tc>
      </w:tr>
    </w:tbl>
    <w:p w14:paraId="49248F7F" w14:textId="77777777" w:rsidR="00764E82" w:rsidRDefault="001E4EDF">
      <w:r>
        <w:lastRenderedPageBreak/>
        <w:br w:type="page"/>
      </w:r>
    </w:p>
    <w:p w14:paraId="1AA1CA43" w14:textId="0FBF5F73" w:rsidR="00764E82" w:rsidRDefault="00764E82"/>
    <w:sectPr w:rsidR="00764E82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;ＭＳ 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B22F9"/>
    <w:multiLevelType w:val="multilevel"/>
    <w:tmpl w:val="3A60DE9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89334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82"/>
    <w:rsid w:val="001E4EDF"/>
    <w:rsid w:val="001F57CA"/>
    <w:rsid w:val="00764E82"/>
    <w:rsid w:val="008E342E"/>
    <w:rsid w:val="00AA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09626"/>
  <w15:docId w15:val="{B43FBC50-C5C0-46E3-A853-2D3677F55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0" w:line="254" w:lineRule="auto"/>
    </w:pPr>
    <w:rPr>
      <w:rFonts w:ascii="Aptos" w:eastAsia="Aptos" w:hAnsi="Aptos" w:cs="Times New Roman"/>
      <w:color w:val="243746"/>
      <w:sz w:val="20"/>
      <w:szCs w:val="22"/>
      <w:lang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numPr>
        <w:numId w:val="1"/>
      </w:numPr>
      <w:spacing w:before="360" w:line="276" w:lineRule="auto"/>
      <w:outlineLvl w:val="0"/>
    </w:pPr>
    <w:rPr>
      <w:rFonts w:ascii="Aptos Display" w:eastAsia="Times New Roman" w:hAnsi="Aptos Display"/>
      <w:color w:val="0F4761"/>
      <w:kern w:val="2"/>
      <w:sz w:val="40"/>
      <w:szCs w:val="40"/>
      <w:lang w:val="pl-PL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numPr>
        <w:ilvl w:val="1"/>
        <w:numId w:val="1"/>
      </w:numPr>
      <w:spacing w:before="160" w:line="276" w:lineRule="auto"/>
      <w:outlineLvl w:val="1"/>
    </w:pPr>
    <w:rPr>
      <w:rFonts w:ascii="Aptos Display" w:eastAsia="Times New Roman" w:hAnsi="Aptos Display"/>
      <w:color w:val="0F4761"/>
      <w:kern w:val="2"/>
      <w:sz w:val="32"/>
      <w:szCs w:val="32"/>
      <w:lang w:val="pl-PL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numPr>
        <w:ilvl w:val="2"/>
        <w:numId w:val="1"/>
      </w:numPr>
      <w:spacing w:before="160" w:line="276" w:lineRule="auto"/>
      <w:outlineLvl w:val="2"/>
    </w:pPr>
    <w:rPr>
      <w:rFonts w:eastAsia="Times New Roman"/>
      <w:color w:val="0F4761"/>
      <w:kern w:val="2"/>
      <w:sz w:val="28"/>
      <w:szCs w:val="28"/>
      <w:lang w:val="pl-PL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numPr>
        <w:ilvl w:val="3"/>
        <w:numId w:val="1"/>
      </w:numPr>
      <w:spacing w:before="80" w:after="40" w:line="276" w:lineRule="auto"/>
      <w:outlineLvl w:val="3"/>
    </w:pPr>
    <w:rPr>
      <w:rFonts w:eastAsia="Times New Roman"/>
      <w:i/>
      <w:iCs/>
      <w:color w:val="0F4761"/>
      <w:kern w:val="2"/>
      <w:sz w:val="24"/>
      <w:szCs w:val="24"/>
      <w:lang w:val="pl-PL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numPr>
        <w:ilvl w:val="4"/>
        <w:numId w:val="1"/>
      </w:numPr>
      <w:spacing w:before="80" w:after="40" w:line="276" w:lineRule="auto"/>
      <w:outlineLvl w:val="4"/>
    </w:pPr>
    <w:rPr>
      <w:rFonts w:eastAsia="Times New Roman"/>
      <w:color w:val="0F4761"/>
      <w:kern w:val="2"/>
      <w:sz w:val="24"/>
      <w:szCs w:val="24"/>
      <w:lang w:val="pl-PL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numPr>
        <w:ilvl w:val="5"/>
        <w:numId w:val="1"/>
      </w:numPr>
      <w:spacing w:before="40" w:after="0" w:line="276" w:lineRule="auto"/>
      <w:outlineLvl w:val="5"/>
    </w:pPr>
    <w:rPr>
      <w:rFonts w:eastAsia="Times New Roman"/>
      <w:i/>
      <w:iCs/>
      <w:color w:val="595959"/>
      <w:kern w:val="2"/>
      <w:sz w:val="24"/>
      <w:szCs w:val="24"/>
      <w:lang w:val="pl-PL"/>
    </w:rPr>
  </w:style>
  <w:style w:type="paragraph" w:styleId="Nagwek7">
    <w:name w:val="heading 7"/>
    <w:basedOn w:val="Normalny"/>
    <w:next w:val="Normalny"/>
    <w:qFormat/>
    <w:pPr>
      <w:keepNext/>
      <w:keepLines/>
      <w:numPr>
        <w:ilvl w:val="6"/>
        <w:numId w:val="1"/>
      </w:numPr>
      <w:spacing w:before="40" w:after="0" w:line="276" w:lineRule="auto"/>
      <w:outlineLvl w:val="6"/>
    </w:pPr>
    <w:rPr>
      <w:rFonts w:eastAsia="Times New Roman"/>
      <w:color w:val="595959"/>
      <w:kern w:val="2"/>
      <w:sz w:val="24"/>
      <w:szCs w:val="24"/>
      <w:lang w:val="pl-PL"/>
    </w:rPr>
  </w:style>
  <w:style w:type="paragraph" w:styleId="Nagwek8">
    <w:name w:val="heading 8"/>
    <w:basedOn w:val="Normalny"/>
    <w:next w:val="Normalny"/>
    <w:qFormat/>
    <w:pPr>
      <w:keepNext/>
      <w:keepLines/>
      <w:numPr>
        <w:ilvl w:val="7"/>
        <w:numId w:val="1"/>
      </w:numPr>
      <w:spacing w:after="0" w:line="276" w:lineRule="auto"/>
      <w:outlineLvl w:val="7"/>
    </w:pPr>
    <w:rPr>
      <w:rFonts w:eastAsia="Times New Roman"/>
      <w:i/>
      <w:iCs/>
      <w:color w:val="272727"/>
      <w:kern w:val="2"/>
      <w:sz w:val="24"/>
      <w:szCs w:val="24"/>
      <w:lang w:val="pl-PL"/>
    </w:rPr>
  </w:style>
  <w:style w:type="paragraph" w:styleId="Nagwek9">
    <w:name w:val="heading 9"/>
    <w:basedOn w:val="Normalny"/>
    <w:next w:val="Normalny"/>
    <w:qFormat/>
    <w:pPr>
      <w:keepNext/>
      <w:keepLines/>
      <w:numPr>
        <w:ilvl w:val="8"/>
        <w:numId w:val="1"/>
      </w:numPr>
      <w:spacing w:after="0" w:line="276" w:lineRule="auto"/>
      <w:outlineLvl w:val="8"/>
    </w:pPr>
    <w:rPr>
      <w:rFonts w:eastAsia="Times New Roman"/>
      <w:color w:val="272727"/>
      <w:kern w:val="2"/>
      <w:sz w:val="24"/>
      <w:szCs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qFormat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qFormat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qFormat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qFormat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qFormat/>
    <w:rPr>
      <w:rFonts w:eastAsia="Times New Roman" w:cs="Times New Roman"/>
      <w:color w:val="0F4761"/>
    </w:rPr>
  </w:style>
  <w:style w:type="character" w:customStyle="1" w:styleId="Nagwek6Znak">
    <w:name w:val="Nagłówek 6 Znak"/>
    <w:qFormat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qFormat/>
    <w:rPr>
      <w:rFonts w:eastAsia="Times New Roman" w:cs="Times New Roman"/>
      <w:color w:val="595959"/>
    </w:rPr>
  </w:style>
  <w:style w:type="character" w:customStyle="1" w:styleId="Nagwek8Znak">
    <w:name w:val="Nagłówek 8 Znak"/>
    <w:qFormat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qFormat/>
    <w:rPr>
      <w:rFonts w:eastAsia="Times New Roman" w:cs="Times New Roman"/>
      <w:color w:val="272727"/>
    </w:rPr>
  </w:style>
  <w:style w:type="character" w:customStyle="1" w:styleId="TytuZnak">
    <w:name w:val="Tytuł Znak"/>
    <w:qFormat/>
    <w:rPr>
      <w:rFonts w:ascii="Aptos Display" w:eastAsia="Times New Roman" w:hAnsi="Aptos Display" w:cs="Times New Roman"/>
      <w:spacing w:val="-10"/>
      <w:kern w:val="2"/>
      <w:sz w:val="56"/>
      <w:szCs w:val="56"/>
    </w:rPr>
  </w:style>
  <w:style w:type="character" w:customStyle="1" w:styleId="PodtytuZnak">
    <w:name w:val="Podtytuł Znak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ytatZnak">
    <w:name w:val="Cytat Znak"/>
    <w:qFormat/>
    <w:rPr>
      <w:i/>
      <w:iCs/>
      <w:color w:val="404040"/>
    </w:rPr>
  </w:style>
  <w:style w:type="character" w:styleId="Wyrnienieintensywne">
    <w:name w:val="Intense Emphasis"/>
    <w:qFormat/>
    <w:rPr>
      <w:i/>
      <w:iCs/>
      <w:color w:val="0F4761"/>
    </w:rPr>
  </w:style>
  <w:style w:type="character" w:customStyle="1" w:styleId="CytatintensywnyZnak">
    <w:name w:val="Cytat intensywny Znak"/>
    <w:qFormat/>
    <w:rPr>
      <w:i/>
      <w:iCs/>
      <w:color w:val="0F4761"/>
    </w:rPr>
  </w:style>
  <w:style w:type="character" w:styleId="Odwoanieintensywne">
    <w:name w:val="Intense Reference"/>
    <w:qFormat/>
    <w:rPr>
      <w:b/>
      <w:bCs/>
      <w:smallCaps/>
      <w:color w:val="0F4761"/>
      <w:spacing w:val="5"/>
    </w:rPr>
  </w:style>
  <w:style w:type="paragraph" w:customStyle="1" w:styleId="Heading">
    <w:name w:val="Heading"/>
    <w:basedOn w:val="Normalny"/>
    <w:next w:val="Normalny"/>
    <w:qFormat/>
    <w:pPr>
      <w:spacing w:line="240" w:lineRule="auto"/>
    </w:pPr>
    <w:rPr>
      <w:rFonts w:ascii="Aptos Display" w:eastAsia="Times New Roman" w:hAnsi="Aptos Display"/>
      <w:color w:val="000000"/>
      <w:spacing w:val="-10"/>
      <w:kern w:val="2"/>
      <w:sz w:val="56"/>
      <w:szCs w:val="56"/>
      <w:lang w:val="pl-PL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Podtytu">
    <w:name w:val="Subtitle"/>
    <w:basedOn w:val="Normalny"/>
    <w:next w:val="Normalny"/>
    <w:uiPriority w:val="11"/>
    <w:qFormat/>
    <w:pPr>
      <w:spacing w:after="160" w:line="276" w:lineRule="auto"/>
    </w:pPr>
    <w:rPr>
      <w:rFonts w:eastAsia="Times New Roman"/>
      <w:color w:val="595959"/>
      <w:spacing w:val="15"/>
      <w:kern w:val="2"/>
      <w:sz w:val="28"/>
      <w:szCs w:val="28"/>
      <w:lang w:val="pl-PL"/>
    </w:rPr>
  </w:style>
  <w:style w:type="paragraph" w:styleId="Cytat">
    <w:name w:val="Quote"/>
    <w:basedOn w:val="Normalny"/>
    <w:next w:val="Normalny"/>
    <w:qFormat/>
    <w:pPr>
      <w:spacing w:before="160" w:after="160" w:line="276" w:lineRule="auto"/>
      <w:jc w:val="center"/>
    </w:pPr>
    <w:rPr>
      <w:rFonts w:cs="Aptos"/>
      <w:i/>
      <w:iCs/>
      <w:color w:val="404040"/>
      <w:kern w:val="2"/>
      <w:sz w:val="24"/>
      <w:szCs w:val="24"/>
      <w:lang w:val="pl-PL"/>
    </w:rPr>
  </w:style>
  <w:style w:type="paragraph" w:styleId="Akapitzlist">
    <w:name w:val="List Paragraph"/>
    <w:basedOn w:val="Normalny"/>
    <w:qFormat/>
    <w:pPr>
      <w:spacing w:after="160" w:line="276" w:lineRule="auto"/>
      <w:ind w:left="720"/>
    </w:pPr>
    <w:rPr>
      <w:rFonts w:cs="Aptos"/>
      <w:color w:val="000000"/>
      <w:kern w:val="2"/>
      <w:sz w:val="24"/>
      <w:szCs w:val="24"/>
      <w:lang w:val="pl-PL"/>
    </w:rPr>
  </w:style>
  <w:style w:type="paragraph" w:styleId="Cytatintensywny">
    <w:name w:val="Intense Quote"/>
    <w:basedOn w:val="Normalny"/>
    <w:next w:val="Normalny"/>
    <w:qFormat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rFonts w:cs="Aptos"/>
      <w:i/>
      <w:iCs/>
      <w:color w:val="0F4761"/>
      <w:kern w:val="2"/>
      <w:sz w:val="24"/>
      <w:szCs w:val="24"/>
      <w:lang w:val="pl-PL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826</Words>
  <Characters>4962</Characters>
  <Application>Microsoft Office Word</Application>
  <DocSecurity>0</DocSecurity>
  <Lines>41</Lines>
  <Paragraphs>11</Paragraphs>
  <ScaleCrop>false</ScaleCrop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Banasik</dc:creator>
  <cp:keywords/>
  <dc:description/>
  <cp:lastModifiedBy>Magdalena Banasik</cp:lastModifiedBy>
  <cp:revision>4</cp:revision>
  <dcterms:created xsi:type="dcterms:W3CDTF">2026-08-26T16:43:00Z</dcterms:created>
  <dcterms:modified xsi:type="dcterms:W3CDTF">2026-08-28T16:19:00Z</dcterms:modified>
  <dc:language>en-US</dc:language>
</cp:coreProperties>
</file>